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ind w:left="3660" w:right="1500" w:hanging="3607"/>
        <w:spacing w:after="0" w:line="423" w:lineRule="auto"/>
        <w:tabs>
          <w:tab w:leader="none" w:pos="59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83" w:lineRule="exact"/>
        <w:rPr>
          <w:sz w:val="24"/>
          <w:szCs w:val="24"/>
          <w:color w:val="auto"/>
        </w:rPr>
      </w:pPr>
    </w:p>
    <w:p>
      <w:pPr>
        <w:ind w:left="4200" w:right="1500" w:hanging="4192"/>
        <w:spacing w:after="0" w:line="423" w:lineRule="auto"/>
        <w:tabs>
          <w:tab w:leader="none" w:pos="59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001-36729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182880</wp:posOffset>
            </wp:positionV>
            <wp:extent cx="134556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55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FRESHPET,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5340" w:type="dxa"/>
            <w:vAlign w:val="bottom"/>
          </w:tcPr>
          <w:p>
            <w:pPr>
              <w:jc w:val="center"/>
              <w:ind w:right="1546"/>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20-1884894</w:t>
            </w:r>
          </w:p>
        </w:tc>
      </w:tr>
      <w:tr>
        <w:trPr>
          <w:trHeight w:val="135"/>
        </w:trPr>
        <w:tc>
          <w:tcPr>
            <w:tcW w:w="5340" w:type="dxa"/>
            <w:vAlign w:val="bottom"/>
          </w:tcPr>
          <w:p>
            <w:pPr>
              <w:jc w:val="center"/>
              <w:ind w:right="1566"/>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620" w:type="dxa"/>
            <w:vAlign w:val="bottom"/>
          </w:tcPr>
          <w:p>
            <w:pPr>
              <w:jc w:val="center"/>
              <w:ind w:left="15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5340" w:type="dxa"/>
            <w:vAlign w:val="bottom"/>
          </w:tcPr>
          <w:p>
            <w:pPr>
              <w:jc w:val="center"/>
              <w:ind w:right="1546"/>
              <w:spacing w:after="0"/>
              <w:rPr>
                <w:sz w:val="20"/>
                <w:szCs w:val="20"/>
                <w:color w:val="auto"/>
              </w:rPr>
            </w:pPr>
            <w:r>
              <w:rPr>
                <w:rFonts w:ascii="Arial" w:cs="Arial" w:eastAsia="Arial" w:hAnsi="Arial"/>
                <w:sz w:val="13"/>
                <w:szCs w:val="13"/>
                <w:b w:val="1"/>
                <w:bCs w:val="1"/>
                <w:color w:val="auto"/>
                <w:w w:val="88"/>
              </w:rPr>
              <w:t>incorporation or organization)</w:t>
            </w:r>
          </w:p>
        </w:tc>
        <w:tc>
          <w:tcPr>
            <w:tcW w:w="2620" w:type="dxa"/>
            <w:vAlign w:val="bottom"/>
          </w:tcPr>
          <w:p>
            <w:pPr>
              <w:jc w:val="center"/>
              <w:ind w:left="1566"/>
              <w:spacing w:after="0"/>
              <w:rPr>
                <w:sz w:val="20"/>
                <w:szCs w:val="20"/>
                <w:color w:val="auto"/>
              </w:rPr>
            </w:pPr>
            <w:r>
              <w:rPr>
                <w:rFonts w:ascii="Arial" w:cs="Arial" w:eastAsia="Arial" w:hAnsi="Arial"/>
                <w:sz w:val="13"/>
                <w:szCs w:val="13"/>
                <w:b w:val="1"/>
                <w:bCs w:val="1"/>
                <w:color w:val="auto"/>
                <w:w w:val="89"/>
              </w:rPr>
              <w:t>Identification No.)</w:t>
            </w:r>
          </w:p>
        </w:tc>
      </w:tr>
      <w:tr>
        <w:trPr>
          <w:trHeight w:val="308"/>
        </w:trPr>
        <w:tc>
          <w:tcPr>
            <w:tcW w:w="5340" w:type="dxa"/>
            <w:vAlign w:val="bottom"/>
          </w:tcPr>
          <w:p>
            <w:pPr>
              <w:jc w:val="center"/>
              <w:ind w:right="1546"/>
              <w:spacing w:after="0"/>
              <w:rPr>
                <w:sz w:val="20"/>
                <w:szCs w:val="20"/>
                <w:color w:val="auto"/>
              </w:rPr>
            </w:pPr>
            <w:r>
              <w:rPr>
                <w:rFonts w:ascii="Arial" w:cs="Arial" w:eastAsia="Arial" w:hAnsi="Arial"/>
                <w:sz w:val="18"/>
                <w:szCs w:val="18"/>
                <w:b w:val="1"/>
                <w:bCs w:val="1"/>
                <w:color w:val="auto"/>
                <w:w w:val="89"/>
              </w:rPr>
              <w:t>400 Plaza Drive, 1</w:t>
            </w:r>
            <w:r>
              <w:rPr>
                <w:rFonts w:ascii="Arial" w:cs="Arial" w:eastAsia="Arial" w:hAnsi="Arial"/>
                <w:sz w:val="14"/>
                <w:szCs w:val="14"/>
                <w:b w:val="1"/>
                <w:bCs w:val="1"/>
                <w:color w:val="auto"/>
                <w:w w:val="89"/>
              </w:rPr>
              <w:t>st</w:t>
            </w:r>
            <w:r>
              <w:rPr>
                <w:rFonts w:ascii="Arial" w:cs="Arial" w:eastAsia="Arial" w:hAnsi="Arial"/>
                <w:sz w:val="18"/>
                <w:szCs w:val="18"/>
                <w:b w:val="1"/>
                <w:bCs w:val="1"/>
                <w:color w:val="auto"/>
                <w:w w:val="89"/>
              </w:rPr>
              <w:t xml:space="preserve"> Floor, Secaucus, New Jersey</w:t>
            </w:r>
          </w:p>
        </w:tc>
        <w:tc>
          <w:tcPr>
            <w:tcW w:w="2620" w:type="dxa"/>
            <w:vAlign w:val="bottom"/>
          </w:tcPr>
          <w:p>
            <w:pPr>
              <w:jc w:val="right"/>
              <w:ind w:right="186"/>
              <w:spacing w:after="0"/>
              <w:rPr>
                <w:sz w:val="20"/>
                <w:szCs w:val="20"/>
                <w:color w:val="auto"/>
              </w:rPr>
            </w:pPr>
            <w:r>
              <w:rPr>
                <w:rFonts w:ascii="Arial" w:cs="Arial" w:eastAsia="Arial" w:hAnsi="Arial"/>
                <w:sz w:val="18"/>
                <w:szCs w:val="18"/>
                <w:b w:val="1"/>
                <w:bCs w:val="1"/>
                <w:color w:val="auto"/>
              </w:rPr>
              <w:t>07094</w:t>
            </w:r>
          </w:p>
        </w:tc>
      </w:tr>
      <w:tr>
        <w:trPr>
          <w:trHeight w:val="164"/>
        </w:trPr>
        <w:tc>
          <w:tcPr>
            <w:tcW w:w="5340" w:type="dxa"/>
            <w:vAlign w:val="bottom"/>
          </w:tcPr>
          <w:p>
            <w:pPr>
              <w:jc w:val="center"/>
              <w:ind w:right="1546"/>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20" w:type="dxa"/>
            <w:vAlign w:val="bottom"/>
          </w:tcPr>
          <w:p>
            <w:pPr>
              <w:jc w:val="center"/>
              <w:ind w:left="156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(201) 520-4000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20" w:type="dxa"/>
            <w:vAlign w:val="bottom"/>
            <w:gridSpan w:val="3"/>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8"/>
        </w:trPr>
        <w:tc>
          <w:tcPr>
            <w:tcW w:w="3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r>
      <w:tr>
        <w:trPr>
          <w:trHeight w:val="209"/>
        </w:trPr>
        <w:tc>
          <w:tcPr>
            <w:tcW w:w="3220" w:type="dxa"/>
            <w:vAlign w:val="bottom"/>
            <w:tcBorders>
              <w:left w:val="single" w:sz="8" w:color="auto"/>
              <w:bottom w:val="single" w:sz="8" w:color="auto"/>
            </w:tcBorders>
          </w:tcPr>
          <w:p>
            <w:pPr>
              <w:jc w:val="center"/>
              <w:ind w:left="1190"/>
              <w:spacing w:after="0" w:line="189" w:lineRule="exact"/>
              <w:rPr>
                <w:sz w:val="20"/>
                <w:szCs w:val="20"/>
                <w:color w:val="auto"/>
              </w:rPr>
            </w:pPr>
            <w:r>
              <w:rPr>
                <w:rFonts w:ascii="Arial" w:cs="Arial" w:eastAsia="Arial" w:hAnsi="Arial"/>
                <w:sz w:val="18"/>
                <w:szCs w:val="18"/>
                <w:color w:val="auto"/>
                <w:w w:val="90"/>
              </w:rPr>
              <w:t>Title of each class</w:t>
            </w:r>
          </w:p>
        </w:tc>
        <w:tc>
          <w:tcPr>
            <w:tcW w:w="1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Trading Symbol</w:t>
            </w:r>
          </w:p>
        </w:tc>
        <w:tc>
          <w:tcPr>
            <w:tcW w:w="4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220" w:type="dxa"/>
            <w:vAlign w:val="bottom"/>
            <w:tcBorders>
              <w:left w:val="single" w:sz="8" w:color="auto"/>
              <w:bottom w:val="single" w:sz="8" w:color="auto"/>
            </w:tcBorders>
          </w:tcPr>
          <w:p>
            <w:pPr>
              <w:jc w:val="center"/>
              <w:ind w:left="1210"/>
              <w:spacing w:after="0" w:line="193" w:lineRule="exact"/>
              <w:rPr>
                <w:sz w:val="20"/>
                <w:szCs w:val="20"/>
                <w:color w:val="auto"/>
              </w:rPr>
            </w:pPr>
            <w:r>
              <w:rPr>
                <w:rFonts w:ascii="Arial" w:cs="Arial" w:eastAsia="Arial" w:hAnsi="Arial"/>
                <w:sz w:val="18"/>
                <w:szCs w:val="18"/>
                <w:color w:val="auto"/>
                <w:w w:val="90"/>
              </w:rPr>
              <w:t>Common Stock</w:t>
            </w:r>
          </w:p>
        </w:tc>
        <w:tc>
          <w:tcPr>
            <w:tcW w:w="128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FRPT</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NASDAQ Global Market</w:t>
            </w:r>
          </w:p>
        </w:tc>
      </w:tr>
    </w:tbl>
    <w:p>
      <w:pPr>
        <w:spacing w:after="0" w:line="112" w:lineRule="exact"/>
        <w:rPr>
          <w:sz w:val="24"/>
          <w:szCs w:val="24"/>
          <w:color w:val="auto"/>
        </w:rPr>
      </w:pPr>
    </w:p>
    <w:p>
      <w:pPr>
        <w:jc w:val="both"/>
        <w:ind w:firstLine="324"/>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36" w:lineRule="exact"/>
        <w:rPr>
          <w:sz w:val="24"/>
          <w:szCs w:val="24"/>
          <w:color w:val="auto"/>
        </w:rPr>
      </w:pPr>
    </w:p>
    <w:p>
      <w:pPr>
        <w:jc w:val="both"/>
        <w:ind w:firstLine="324"/>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p>
    <w:p>
      <w:pPr>
        <w:spacing w:after="0" w:line="92"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524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pacing w:after="0" w:line="92" w:lineRule="exact"/>
        <w:rPr>
          <w:sz w:val="24"/>
          <w:szCs w:val="24"/>
          <w:color w:val="auto"/>
        </w:rPr>
      </w:pPr>
    </w:p>
    <w:p>
      <w:pPr>
        <w:jc w:val="both"/>
        <w:ind w:firstLine="324"/>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left="340" w:right="2340"/>
        <w:spacing w:after="0" w:line="28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 2023 the registrant had 48,241,898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9940" w:type="dxa"/>
            <w:vAlign w:val="bottom"/>
            <w:gridSpan w:val="16"/>
          </w:tcPr>
          <w:p>
            <w:pPr>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gridSpan w:val="6"/>
          </w:tcPr>
          <w:p>
            <w:pPr>
              <w:jc w:val="center"/>
              <w:ind w:left="67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03"/>
        </w:trPr>
        <w:tc>
          <w:tcPr>
            <w:tcW w:w="99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300" w:type="dxa"/>
            <w:vAlign w:val="bottom"/>
            <w:gridSpan w:val="6"/>
          </w:tcPr>
          <w:p>
            <w:pPr>
              <w:jc w:val="center"/>
              <w:ind w:left="650"/>
              <w:spacing w:after="0" w:line="202" w:lineRule="exact"/>
              <w:rPr>
                <w:sz w:val="20"/>
                <w:szCs w:val="20"/>
                <w:color w:val="auto"/>
              </w:rPr>
            </w:pPr>
            <w:r>
              <w:rPr>
                <w:rFonts w:ascii="Arial" w:cs="Arial" w:eastAsia="Arial" w:hAnsi="Arial"/>
                <w:sz w:val="18"/>
                <w:szCs w:val="18"/>
                <w:color w:val="auto"/>
                <w:w w:val="99"/>
              </w:rPr>
              <w:t>No.</w:t>
            </w:r>
          </w:p>
        </w:tc>
        <w:tc>
          <w:tcPr>
            <w:tcW w:w="0" w:type="dxa"/>
            <w:vAlign w:val="bottom"/>
          </w:tcPr>
          <w:p>
            <w:pPr>
              <w:spacing w:after="0"/>
              <w:rPr>
                <w:sz w:val="1"/>
                <w:szCs w:val="1"/>
                <w:color w:val="auto"/>
              </w:rPr>
            </w:pPr>
          </w:p>
        </w:tc>
      </w:tr>
      <w:tr>
        <w:trPr>
          <w:trHeight w:val="188"/>
        </w:trPr>
        <w:tc>
          <w:tcPr>
            <w:tcW w:w="9940" w:type="dxa"/>
            <w:vAlign w:val="bottom"/>
            <w:gridSpan w:val="16"/>
            <w:vMerge w:val="continue"/>
          </w:tcPr>
          <w:p>
            <w:pPr>
              <w:spacing w:after="0"/>
              <w:rPr>
                <w:sz w:val="16"/>
                <w:szCs w:val="16"/>
                <w:color w:val="auto"/>
              </w:rPr>
            </w:pPr>
          </w:p>
        </w:tc>
        <w:tc>
          <w:tcPr>
            <w:tcW w:w="1080" w:type="dxa"/>
            <w:vAlign w:val="bottom"/>
            <w:gridSpan w:val="4"/>
          </w:tcPr>
          <w:p>
            <w:pPr>
              <w:jc w:val="center"/>
              <w:ind w:left="890"/>
              <w:spacing w:after="0" w:line="189" w:lineRule="exact"/>
              <w:rPr>
                <w:sz w:val="20"/>
                <w:szCs w:val="20"/>
                <w:color w:val="auto"/>
              </w:rPr>
            </w:pPr>
            <w:r>
              <w:rPr>
                <w:rFonts w:ascii="Arial" w:cs="Arial" w:eastAsia="Arial" w:hAnsi="Arial"/>
                <w:sz w:val="18"/>
                <w:szCs w:val="18"/>
                <w:color w:val="0000EE"/>
                <w:w w:val="99"/>
              </w:rPr>
              <w:t>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Item 1.</w:t>
            </w:r>
          </w:p>
        </w:tc>
        <w:tc>
          <w:tcPr>
            <w:tcW w:w="2680" w:type="dxa"/>
            <w:vAlign w:val="bottom"/>
            <w:gridSpan w:val="6"/>
            <w:vMerge w:val="restart"/>
          </w:tcPr>
          <w:p>
            <w:pPr>
              <w:spacing w:after="0" w:line="202" w:lineRule="exact"/>
              <w:rPr>
                <w:sz w:val="20"/>
                <w:szCs w:val="20"/>
                <w:color w:val="auto"/>
              </w:rPr>
            </w:pPr>
            <w:r>
              <w:rPr>
                <w:rFonts w:ascii="Arial" w:cs="Arial" w:eastAsia="Arial" w:hAnsi="Arial"/>
                <w:sz w:val="18"/>
                <w:szCs w:val="18"/>
                <w:color w:val="0000EE"/>
                <w:w w:val="99"/>
              </w:rPr>
              <w:t>Financial Statements (Unaudited)</w:t>
            </w:r>
          </w:p>
        </w:tc>
        <w:tc>
          <w:tcPr>
            <w:tcW w:w="6120" w:type="dxa"/>
            <w:vAlign w:val="bottom"/>
            <w:gridSpan w:val="9"/>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680" w:type="dxa"/>
            <w:vAlign w:val="bottom"/>
            <w:gridSpan w:val="6"/>
            <w:vMerge w:val="continue"/>
          </w:tcPr>
          <w:p>
            <w:pPr>
              <w:spacing w:after="0"/>
              <w:rPr>
                <w:sz w:val="15"/>
                <w:szCs w:val="15"/>
                <w:color w:val="auto"/>
              </w:rPr>
            </w:pPr>
          </w:p>
        </w:tc>
        <w:tc>
          <w:tcPr>
            <w:tcW w:w="6120" w:type="dxa"/>
            <w:vAlign w:val="bottom"/>
            <w:gridSpan w:val="9"/>
            <w:vMerge w:val="continue"/>
          </w:tcPr>
          <w:p>
            <w:pPr>
              <w:spacing w:after="0"/>
              <w:rPr>
                <w:sz w:val="15"/>
                <w:szCs w:val="15"/>
                <w:color w:val="auto"/>
              </w:rPr>
            </w:pP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340" w:type="dxa"/>
            <w:vAlign w:val="bottom"/>
            <w:gridSpan w:val="7"/>
          </w:tcPr>
          <w:p>
            <w:pPr>
              <w:spacing w:after="0" w:line="182" w:lineRule="exact"/>
              <w:rPr>
                <w:sz w:val="20"/>
                <w:szCs w:val="20"/>
                <w:color w:val="auto"/>
              </w:rPr>
            </w:pPr>
            <w:r>
              <w:rPr>
                <w:rFonts w:ascii="Arial" w:cs="Arial" w:eastAsia="Arial" w:hAnsi="Arial"/>
                <w:sz w:val="18"/>
                <w:szCs w:val="18"/>
                <w:color w:val="0000EE"/>
                <w:w w:val="99"/>
              </w:rPr>
              <w:t>Condensed Consolidated Balance Sheets</w:t>
            </w:r>
          </w:p>
        </w:tc>
        <w:tc>
          <w:tcPr>
            <w:tcW w:w="5460" w:type="dxa"/>
            <w:vAlign w:val="bottom"/>
            <w:gridSpan w:val="8"/>
          </w:tcPr>
          <w:p>
            <w:pPr>
              <w:spacing w:after="0"/>
              <w:rPr>
                <w:sz w:val="15"/>
                <w:szCs w:val="15"/>
                <w:color w:val="auto"/>
              </w:rPr>
            </w:pP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800" w:type="dxa"/>
            <w:vAlign w:val="bottom"/>
            <w:gridSpan w:val="15"/>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Loss</w:t>
            </w: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200" w:type="dxa"/>
            <w:vAlign w:val="bottom"/>
            <w:gridSpan w:val="12"/>
          </w:tcPr>
          <w:p>
            <w:pPr>
              <w:spacing w:after="0" w:line="182" w:lineRule="exact"/>
              <w:rPr>
                <w:sz w:val="20"/>
                <w:szCs w:val="20"/>
                <w:color w:val="auto"/>
              </w:rPr>
            </w:pPr>
            <w:r>
              <w:rPr>
                <w:rFonts w:ascii="Arial" w:cs="Arial" w:eastAsia="Arial" w:hAnsi="Arial"/>
                <w:sz w:val="18"/>
                <w:szCs w:val="18"/>
                <w:color w:val="0000EE"/>
              </w:rPr>
              <w:t>Condensed Consolidated Statements of Changes in Stockholders’ Equity</w:t>
            </w:r>
          </w:p>
        </w:tc>
        <w:tc>
          <w:tcPr>
            <w:tcW w:w="2600" w:type="dxa"/>
            <w:vAlign w:val="bottom"/>
            <w:gridSpan w:val="3"/>
          </w:tcPr>
          <w:p>
            <w:pPr>
              <w:spacing w:after="0"/>
              <w:rPr>
                <w:sz w:val="15"/>
                <w:szCs w:val="15"/>
                <w:color w:val="auto"/>
              </w:rPr>
            </w:pP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180" w:type="dxa"/>
            <w:vAlign w:val="bottom"/>
            <w:gridSpan w:val="8"/>
          </w:tcPr>
          <w:p>
            <w:pPr>
              <w:spacing w:after="0" w:line="182" w:lineRule="exact"/>
              <w:rPr>
                <w:sz w:val="20"/>
                <w:szCs w:val="20"/>
                <w:color w:val="auto"/>
              </w:rPr>
            </w:pPr>
            <w:r>
              <w:rPr>
                <w:rFonts w:ascii="Arial" w:cs="Arial" w:eastAsia="Arial" w:hAnsi="Arial"/>
                <w:sz w:val="18"/>
                <w:szCs w:val="18"/>
                <w:color w:val="0000EE"/>
                <w:w w:val="99"/>
              </w:rPr>
              <w:t>Condensed Consolidated Statements of Cash Flows</w:t>
            </w:r>
          </w:p>
        </w:tc>
        <w:tc>
          <w:tcPr>
            <w:tcW w:w="1640" w:type="dxa"/>
            <w:vAlign w:val="bottom"/>
            <w:gridSpan w:val="3"/>
          </w:tcPr>
          <w:p>
            <w:pPr>
              <w:spacing w:after="0"/>
              <w:rPr>
                <w:sz w:val="15"/>
                <w:szCs w:val="15"/>
                <w:color w:val="auto"/>
              </w:rPr>
            </w:pPr>
          </w:p>
        </w:tc>
        <w:tc>
          <w:tcPr>
            <w:tcW w:w="2980" w:type="dxa"/>
            <w:vAlign w:val="bottom"/>
            <w:gridSpan w:val="4"/>
          </w:tcPr>
          <w:p>
            <w:pPr>
              <w:spacing w:after="0"/>
              <w:rPr>
                <w:sz w:val="15"/>
                <w:szCs w:val="15"/>
                <w:color w:val="auto"/>
              </w:rPr>
            </w:pP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restart"/>
          </w:tcPr>
          <w:p>
            <w:pPr>
              <w:ind w:left="200"/>
              <w:spacing w:after="0"/>
              <w:rPr>
                <w:sz w:val="20"/>
                <w:szCs w:val="20"/>
                <w:color w:val="auto"/>
              </w:rPr>
            </w:pPr>
            <w:r>
              <w:rPr>
                <w:rFonts w:ascii="Arial" w:cs="Arial" w:eastAsia="Arial" w:hAnsi="Arial"/>
                <w:sz w:val="18"/>
                <w:szCs w:val="18"/>
                <w:color w:val="auto"/>
              </w:rPr>
              <w:t>Item 2.</w:t>
            </w:r>
          </w:p>
        </w:tc>
        <w:tc>
          <w:tcPr>
            <w:tcW w:w="4480" w:type="dxa"/>
            <w:vAlign w:val="bottom"/>
            <w:gridSpan w:val="9"/>
          </w:tcPr>
          <w:p>
            <w:pPr>
              <w:spacing w:after="0" w:line="182" w:lineRule="exact"/>
              <w:rPr>
                <w:sz w:val="20"/>
                <w:szCs w:val="20"/>
                <w:color w:val="auto"/>
              </w:rPr>
            </w:pPr>
            <w:r>
              <w:rPr>
                <w:rFonts w:ascii="Arial" w:cs="Arial" w:eastAsia="Arial" w:hAnsi="Arial"/>
                <w:sz w:val="18"/>
                <w:szCs w:val="18"/>
                <w:color w:val="0000EE"/>
                <w:w w:val="99"/>
              </w:rPr>
              <w:t>Notes to Condensed Consolidated Financial Statements</w:t>
            </w:r>
          </w:p>
        </w:tc>
        <w:tc>
          <w:tcPr>
            <w:tcW w:w="4320" w:type="dxa"/>
            <w:vAlign w:val="bottom"/>
            <w:gridSpan w:val="6"/>
          </w:tcPr>
          <w:p>
            <w:pPr>
              <w:spacing w:after="0"/>
              <w:rPr>
                <w:sz w:val="15"/>
                <w:szCs w:val="15"/>
                <w:color w:val="auto"/>
              </w:rPr>
            </w:pPr>
          </w:p>
        </w:tc>
        <w:tc>
          <w:tcPr>
            <w:tcW w:w="1080" w:type="dxa"/>
            <w:vAlign w:val="bottom"/>
            <w:gridSpan w:val="4"/>
          </w:tcPr>
          <w:p>
            <w:pPr>
              <w:jc w:val="center"/>
              <w:ind w:left="890"/>
              <w:spacing w:after="0" w:line="182" w:lineRule="exact"/>
              <w:rPr>
                <w:sz w:val="20"/>
                <w:szCs w:val="20"/>
                <w:color w:val="auto"/>
              </w:rPr>
            </w:pPr>
            <w:r>
              <w:rPr>
                <w:rFonts w:ascii="Arial" w:cs="Arial" w:eastAsia="Arial" w:hAnsi="Arial"/>
                <w:sz w:val="18"/>
                <w:szCs w:val="18"/>
                <w:color w:val="0000EE"/>
                <w:w w:val="99"/>
              </w:rPr>
              <w:t>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7080" w:type="dxa"/>
            <w:vAlign w:val="bottom"/>
            <w:gridSpan w:val="13"/>
          </w:tcPr>
          <w:p>
            <w:pPr>
              <w:spacing w:after="0" w:line="182"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720" w:type="dxa"/>
            <w:vAlign w:val="bottom"/>
            <w:gridSpan w:val="2"/>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Item 3.</w:t>
            </w: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700" w:type="dxa"/>
            <w:vAlign w:val="bottom"/>
            <w:gridSpan w:val="10"/>
          </w:tcPr>
          <w:p>
            <w:pPr>
              <w:spacing w:after="0" w:line="182" w:lineRule="exact"/>
              <w:rPr>
                <w:sz w:val="20"/>
                <w:szCs w:val="20"/>
                <w:color w:val="auto"/>
              </w:rPr>
            </w:pPr>
            <w:r>
              <w:rPr>
                <w:rFonts w:ascii="Arial" w:cs="Arial" w:eastAsia="Arial" w:hAnsi="Arial"/>
                <w:sz w:val="18"/>
                <w:szCs w:val="18"/>
                <w:color w:val="0000EE"/>
                <w:w w:val="99"/>
              </w:rPr>
              <w:t>Quantitative and Qualitative Disclosures about Market Risk</w:t>
            </w:r>
          </w:p>
        </w:tc>
        <w:tc>
          <w:tcPr>
            <w:tcW w:w="2380" w:type="dxa"/>
            <w:vAlign w:val="bottom"/>
            <w:gridSpan w:val="3"/>
          </w:tcPr>
          <w:p>
            <w:pPr>
              <w:spacing w:after="0"/>
              <w:rPr>
                <w:sz w:val="15"/>
                <w:szCs w:val="15"/>
                <w:color w:val="auto"/>
              </w:rPr>
            </w:pPr>
          </w:p>
        </w:tc>
        <w:tc>
          <w:tcPr>
            <w:tcW w:w="1720" w:type="dxa"/>
            <w:vAlign w:val="bottom"/>
            <w:gridSpan w:val="2"/>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Item 4.</w:t>
            </w: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000" w:type="dxa"/>
            <w:vAlign w:val="bottom"/>
            <w:gridSpan w:val="5"/>
          </w:tcPr>
          <w:p>
            <w:pPr>
              <w:spacing w:after="0" w:line="182" w:lineRule="exact"/>
              <w:rPr>
                <w:sz w:val="20"/>
                <w:szCs w:val="20"/>
                <w:color w:val="auto"/>
              </w:rPr>
            </w:pPr>
            <w:r>
              <w:rPr>
                <w:rFonts w:ascii="Arial" w:cs="Arial" w:eastAsia="Arial" w:hAnsi="Arial"/>
                <w:sz w:val="18"/>
                <w:szCs w:val="18"/>
                <w:color w:val="0000EE"/>
                <w:w w:val="99"/>
              </w:rPr>
              <w:t>Controls and Procedures</w:t>
            </w:r>
          </w:p>
        </w:tc>
        <w:tc>
          <w:tcPr>
            <w:tcW w:w="2700" w:type="dxa"/>
            <w:vAlign w:val="bottom"/>
            <w:gridSpan w:val="5"/>
          </w:tcPr>
          <w:p>
            <w:pPr>
              <w:spacing w:after="0"/>
              <w:rPr>
                <w:sz w:val="15"/>
                <w:szCs w:val="15"/>
                <w:color w:val="auto"/>
              </w:rPr>
            </w:pPr>
          </w:p>
        </w:tc>
        <w:tc>
          <w:tcPr>
            <w:tcW w:w="4100" w:type="dxa"/>
            <w:vAlign w:val="bottom"/>
            <w:gridSpan w:val="5"/>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Part II. Other</w:t>
            </w: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980" w:type="dxa"/>
            <w:vAlign w:val="bottom"/>
            <w:gridSpan w:val="9"/>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0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Information</w:t>
            </w:r>
          </w:p>
        </w:tc>
        <w:tc>
          <w:tcPr>
            <w:tcW w:w="5980" w:type="dxa"/>
            <w:vAlign w:val="bottom"/>
            <w:gridSpan w:val="9"/>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bottom w:val="single" w:sz="8" w:color="0000EE"/>
            </w:tcBorders>
            <w:gridSpan w:val="4"/>
          </w:tcPr>
          <w:p>
            <w:pPr>
              <w:jc w:val="center"/>
              <w:spacing w:after="0" w:line="182" w:lineRule="exact"/>
              <w:rPr>
                <w:sz w:val="20"/>
                <w:szCs w:val="20"/>
                <w:color w:val="auto"/>
              </w:rPr>
            </w:pPr>
            <w:r>
              <w:rPr>
                <w:rFonts w:ascii="Arial" w:cs="Arial" w:eastAsia="Arial" w:hAnsi="Arial"/>
                <w:sz w:val="18"/>
                <w:szCs w:val="18"/>
                <w:color w:val="0000EE"/>
                <w:w w:val="99"/>
              </w:rPr>
              <w:t>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0"/>
              <w:spacing w:after="0" w:line="182"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82" w:lineRule="exact"/>
              <w:rPr>
                <w:sz w:val="20"/>
                <w:szCs w:val="20"/>
                <w:color w:val="auto"/>
              </w:rPr>
            </w:pPr>
            <w:r>
              <w:rPr>
                <w:rFonts w:ascii="Arial" w:cs="Arial" w:eastAsia="Arial" w:hAnsi="Arial"/>
                <w:sz w:val="18"/>
                <w:szCs w:val="18"/>
                <w:color w:val="0000EE"/>
                <w:w w:val="99"/>
              </w:rPr>
              <w:t>Legal Proceedings</w:t>
            </w:r>
          </w:p>
        </w:tc>
        <w:tc>
          <w:tcPr>
            <w:tcW w:w="7300" w:type="dxa"/>
            <w:vAlign w:val="bottom"/>
            <w:gridSpan w:val="11"/>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50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7300" w:type="dxa"/>
            <w:vAlign w:val="bottom"/>
            <w:gridSpan w:val="11"/>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20"/>
              <w:spacing w:after="0" w:line="202" w:lineRule="exact"/>
              <w:rPr>
                <w:sz w:val="20"/>
                <w:szCs w:val="20"/>
                <w:color w:val="auto"/>
              </w:rPr>
            </w:pPr>
            <w:r>
              <w:rPr>
                <w:rFonts w:ascii="Arial" w:cs="Arial" w:eastAsia="Arial" w:hAnsi="Arial"/>
                <w:sz w:val="18"/>
                <w:szCs w:val="18"/>
                <w:color w:val="auto"/>
              </w:rPr>
              <w:t>Item 2.</w:t>
            </w: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800" w:type="dxa"/>
            <w:vAlign w:val="bottom"/>
            <w:gridSpan w:val="15"/>
          </w:tcPr>
          <w:p>
            <w:pPr>
              <w:spacing w:after="0" w:line="182" w:lineRule="exact"/>
              <w:rPr>
                <w:sz w:val="20"/>
                <w:szCs w:val="20"/>
                <w:color w:val="auto"/>
              </w:rPr>
            </w:pPr>
            <w:r>
              <w:rPr>
                <w:rFonts w:ascii="Arial" w:cs="Arial" w:eastAsia="Arial" w:hAnsi="Arial"/>
                <w:sz w:val="18"/>
                <w:szCs w:val="18"/>
                <w:color w:val="0000EE"/>
              </w:rPr>
              <w:t>Unregistered Sales of Equity Securities, Use of Proceeds, and Issuer Purchases of Equity Securities</w:t>
            </w: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20"/>
              <w:spacing w:after="0" w:line="202" w:lineRule="exact"/>
              <w:rPr>
                <w:sz w:val="20"/>
                <w:szCs w:val="20"/>
                <w:color w:val="auto"/>
              </w:rPr>
            </w:pPr>
            <w:r>
              <w:rPr>
                <w:rFonts w:ascii="Arial" w:cs="Arial" w:eastAsia="Arial" w:hAnsi="Arial"/>
                <w:sz w:val="18"/>
                <w:szCs w:val="18"/>
                <w:color w:val="auto"/>
              </w:rPr>
              <w:t>Item 5.</w:t>
            </w: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580" w:type="dxa"/>
            <w:vAlign w:val="bottom"/>
            <w:gridSpan w:val="11"/>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7980" w:type="dxa"/>
            <w:vAlign w:val="bottom"/>
            <w:gridSpan w:val="14"/>
          </w:tcPr>
          <w:p>
            <w:pPr>
              <w:spacing w:after="0" w:line="182" w:lineRule="exact"/>
              <w:rPr>
                <w:sz w:val="20"/>
                <w:szCs w:val="20"/>
                <w:color w:val="auto"/>
              </w:rPr>
            </w:pPr>
            <w:r>
              <w:rPr>
                <w:rFonts w:ascii="Arial" w:cs="Arial" w:eastAsia="Arial" w:hAnsi="Arial"/>
                <w:sz w:val="18"/>
                <w:szCs w:val="18"/>
                <w:color w:val="0000EE"/>
              </w:rPr>
              <w:t>Other Information</w:t>
            </w:r>
          </w:p>
        </w:tc>
        <w:tc>
          <w:tcPr>
            <w:tcW w:w="820" w:type="dxa"/>
            <w:vAlign w:val="bottom"/>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Item 6.</w:t>
            </w: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640" w:type="dxa"/>
            <w:vAlign w:val="bottom"/>
          </w:tcPr>
          <w:p>
            <w:pPr>
              <w:spacing w:after="0" w:line="182" w:lineRule="exact"/>
              <w:rPr>
                <w:sz w:val="20"/>
                <w:szCs w:val="20"/>
                <w:color w:val="auto"/>
              </w:rPr>
            </w:pPr>
            <w:r>
              <w:rPr>
                <w:rFonts w:ascii="Arial" w:cs="Arial" w:eastAsia="Arial" w:hAnsi="Arial"/>
                <w:sz w:val="18"/>
                <w:szCs w:val="18"/>
                <w:color w:val="0000EE"/>
                <w:w w:val="98"/>
              </w:rPr>
              <w:t>Exhibits</w:t>
            </w:r>
          </w:p>
        </w:tc>
        <w:tc>
          <w:tcPr>
            <w:tcW w:w="760" w:type="dxa"/>
            <w:vAlign w:val="bottom"/>
            <w:gridSpan w:val="2"/>
          </w:tcPr>
          <w:p>
            <w:pPr>
              <w:spacing w:after="0"/>
              <w:rPr>
                <w:sz w:val="15"/>
                <w:szCs w:val="15"/>
                <w:color w:val="auto"/>
              </w:rPr>
            </w:pPr>
          </w:p>
        </w:tc>
        <w:tc>
          <w:tcPr>
            <w:tcW w:w="7400" w:type="dxa"/>
            <w:vAlign w:val="bottom"/>
            <w:gridSpan w:val="12"/>
          </w:tcPr>
          <w:p>
            <w:pPr>
              <w:spacing w:after="0"/>
              <w:rPr>
                <w:sz w:val="15"/>
                <w:szCs w:val="15"/>
                <w:color w:val="auto"/>
              </w:rPr>
            </w:pPr>
          </w:p>
        </w:tc>
        <w:tc>
          <w:tcPr>
            <w:tcW w:w="1120" w:type="dxa"/>
            <w:vAlign w:val="bottom"/>
            <w:gridSpan w:val="5"/>
          </w:tcPr>
          <w:p>
            <w:pPr>
              <w:jc w:val="center"/>
              <w:ind w:left="830"/>
              <w:spacing w:after="0" w:line="182" w:lineRule="exact"/>
              <w:rPr>
                <w:sz w:val="20"/>
                <w:szCs w:val="20"/>
                <w:color w:val="auto"/>
              </w:rPr>
            </w:pPr>
            <w:r>
              <w:rPr>
                <w:rFonts w:ascii="Arial" w:cs="Arial" w:eastAsia="Arial" w:hAnsi="Arial"/>
                <w:sz w:val="18"/>
                <w:szCs w:val="18"/>
                <w:color w:val="0000EE"/>
                <w:w w:val="99"/>
              </w:rPr>
              <w:t>39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60" w:type="dxa"/>
            <w:vAlign w:val="bottom"/>
            <w:gridSpan w:val="9"/>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“outlook,” “potential,” “project,” “projection,” “plan,” "target,"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may cause actual results to differ materially from those that we expected, including:</w:t>
      </w:r>
    </w:p>
    <w:p>
      <w:pPr>
        <w:spacing w:after="0" w:line="184"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sustainability targets, goals, and commitments, including due to the impact of climate change;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economic and financial market conditions generally, such as inflation and interest rate increases;</w:t>
      </w:r>
    </w:p>
    <w:p>
      <w:pPr>
        <w:spacing w:after="0" w:line="63" w:lineRule="exact"/>
        <w:rPr>
          <w:rFonts w:ascii="Arial" w:cs="Arial" w:eastAsia="Arial" w:hAnsi="Arial"/>
          <w:sz w:val="18"/>
          <w:szCs w:val="18"/>
          <w:color w:val="auto"/>
        </w:rPr>
      </w:pPr>
    </w:p>
    <w:p>
      <w:pPr>
        <w:jc w:val="both"/>
        <w:ind w:left="1300" w:right="20" w:hanging="644"/>
        <w:spacing w:after="0" w:line="24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various worldwide or macroeconomic events, such as the ongoing conflict between Russia and Ukraine and the current conflict in Israel and the Gaza Strip, on the U.S. and global economics, our employees, suppliers, customers and end consumers, which could adversely and materially impact our business, financial condition and results of operations;</w:t>
      </w:r>
    </w:p>
    <w:p>
      <w:pPr>
        <w:spacing w:after="0" w:line="35"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growth strategy, including related to implementing our marketing strategy and building capacity to meet demand, such as through the timely expansion of certain of our Freshpet Kitchens (as defined below);</w:t>
      </w:r>
    </w:p>
    <w:p>
      <w:pPr>
        <w:spacing w:after="0" w:line="3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new processes and systems as we continue to stabilize and improve our new ERP;</w:t>
      </w:r>
    </w:p>
    <w:p>
      <w:pPr>
        <w:spacing w:after="0" w:line="63" w:lineRule="exact"/>
        <w:rPr>
          <w:rFonts w:ascii="Arial" w:cs="Arial" w:eastAsia="Arial" w:hAnsi="Arial"/>
          <w:sz w:val="18"/>
          <w:szCs w:val="18"/>
          <w:color w:val="auto"/>
        </w:rPr>
      </w:pPr>
    </w:p>
    <w:p>
      <w:pPr>
        <w:jc w:val="both"/>
        <w:ind w:left="1300" w:right="20" w:hanging="644"/>
        <w:spacing w:after="0" w:line="24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complete the construction at our Freshpet Kitchens South and Freshpet Kitchens Ennis (our Freshpet Kitchens Bethlehem, Freshpet Kitchens South and Freshpet Kitchens Ennis collectively, “Freshpet Kitchens") and achieve the anticipated benefits therefrom;</w:t>
      </w:r>
    </w:p>
    <w:p>
      <w:pPr>
        <w:spacing w:after="0" w:line="3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members of our senior management team;</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or fail to comply with government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 significant customer;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entrance of new competitors into our industry;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marketing and trade spending programs;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improve existing products;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match our manufacturing capacity with demand;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regulation, scrutiny, warnings and public perception;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false marketing claims;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pestilences and other natural conditions affecting our operations;</w:t>
      </w:r>
    </w:p>
    <w:p>
      <w:pPr>
        <w:spacing w:after="0" w:line="63" w:lineRule="exact"/>
        <w:rPr>
          <w:rFonts w:ascii="Arial" w:cs="Arial" w:eastAsia="Arial" w:hAnsi="Arial"/>
          <w:sz w:val="18"/>
          <w:szCs w:val="18"/>
          <w:color w:val="auto"/>
        </w:rPr>
      </w:pPr>
    </w:p>
    <w:p>
      <w:pPr>
        <w:ind w:left="1280" w:hanging="597"/>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develop and maintain our brand;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left="1300" w:hanging="644"/>
        <w:spacing w:after="0" w:line="26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potential price increases and shortages on the inputs, commodities and ingredients that we require, including those effects caused by inflation;</w:t>
      </w:r>
    </w:p>
    <w:p>
      <w:pPr>
        <w:spacing w:after="0" w:line="2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supply chain effectively;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or local pandemic, such as COVID-19;</w:t>
      </w:r>
    </w:p>
    <w:p>
      <w:pPr>
        <w:spacing w:after="0" w:line="6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failure of our information technology systems to perform adequately, including as a result of any interruptions, intrusions,</w:t>
      </w:r>
    </w:p>
    <w:p>
      <w:pPr>
        <w:spacing w:after="0" w:line="7" w:lineRule="exact"/>
        <w:rPr>
          <w:rFonts w:ascii="Arial" w:cs="Arial" w:eastAsia="Arial" w:hAnsi="Arial"/>
          <w:sz w:val="18"/>
          <w:szCs w:val="18"/>
          <w:color w:val="auto"/>
        </w:rPr>
      </w:pPr>
    </w:p>
    <w:p>
      <w:pPr>
        <w:ind w:left="1300" w:hanging="644"/>
        <w:spacing w:after="0" w:line="181" w:lineRule="auto"/>
        <w:tabs>
          <w:tab w:leader="none" w:pos="130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cyber attacks or physical or electronic security breaches of such systems;</w:t>
      </w:r>
    </w:p>
    <w:p>
      <w:pPr>
        <w:spacing w:after="0" w:line="53" w:lineRule="exact"/>
        <w:rPr>
          <w:rFonts w:ascii="Arial" w:cs="Arial" w:eastAsia="Arial" w:hAnsi="Arial"/>
          <w:sz w:val="25"/>
          <w:szCs w:val="25"/>
          <w:color w:val="auto"/>
          <w:vertAlign w:val="superscript"/>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stockholders;</w:t>
      </w:r>
    </w:p>
    <w:p>
      <w:pPr>
        <w:spacing w:after="0" w:line="6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the price of our common stock; and</w:t>
      </w:r>
    </w:p>
    <w:p>
      <w:pPr>
        <w:spacing w:after="0" w:line="76"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 “Management’s Discussion and Analysis of Financial Condition and Results of Operations” in this report and the headings "Risk Factors," "Business" and "Management's Discussion and Analysis of Financial Condition and Results of Operations" in our Annual Report on Form 10-K for the year ended December 31, 2022 and our subsequent Quarterly Reports on Form 10-Q.</w:t>
      </w: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these risks and uncertainties.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FRESHPET,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0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338,107</w:t>
            </w:r>
          </w:p>
        </w:tc>
        <w:tc>
          <w:tcPr>
            <w:tcW w:w="1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132,735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57,572</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59,063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58,290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462,390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261,965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924,720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800,586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 on equipment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Operating lease right of use assets</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Long term investment in equity securities</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23,528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27,449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28,426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line="182"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1,444,333</w:t>
            </w:r>
          </w:p>
        </w:tc>
        <w:tc>
          <w:tcPr>
            <w:tcW w:w="12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1,125,383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6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55,088</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39,377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33,016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Current operating lease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Current finance lease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shd w:val="clear" w:color="auto" w:fill="CCEEFF"/>
          </w:tcPr>
          <w:p>
            <w:pPr>
              <w:ind w:left="660"/>
              <w:spacing w:after="0" w:line="182"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83,773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89,614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392,562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operating lease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Long term finance lease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505,777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93,814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5"/>
                <w:szCs w:val="15"/>
                <w:color w:val="auto"/>
              </w:rPr>
            </w:pPr>
          </w:p>
        </w:tc>
        <w:tc>
          <w:tcPr>
            <w:tcW w:w="146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340"/>
              <w:spacing w:after="0" w:line="189" w:lineRule="exact"/>
              <w:rPr>
                <w:sz w:val="20"/>
                <w:szCs w:val="20"/>
                <w:color w:val="auto"/>
              </w:rPr>
            </w:pPr>
            <w:r>
              <w:rPr>
                <w:rFonts w:ascii="Arial" w:cs="Arial" w:eastAsia="Arial" w:hAnsi="Arial"/>
                <w:sz w:val="18"/>
                <w:szCs w:val="18"/>
                <w:color w:val="auto"/>
              </w:rPr>
              <w:t>Common stock — voting, $0.001 par value, 200,000 shares authorized, 48,240 issued and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48,226 outstanding on September 30, 2023, and 48,051 issued and 48,037 outstanding 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40"/>
              <w:spacing w:after="0"/>
              <w:rPr>
                <w:sz w:val="20"/>
                <w:szCs w:val="20"/>
                <w:color w:val="auto"/>
              </w:rPr>
            </w:pPr>
            <w:r>
              <w:rPr>
                <w:rFonts w:ascii="Arial" w:cs="Arial" w:eastAsia="Arial" w:hAnsi="Arial"/>
                <w:sz w:val="18"/>
                <w:szCs w:val="18"/>
                <w:color w:val="auto"/>
              </w:rPr>
              <w:t>December 31, 2022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1,283,744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1,325,524</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(344,021)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(295,117)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Treasury stock, at cost — 14 shares on September 30, 2023 and on December 31, 2022</w:t>
            </w:r>
          </w:p>
        </w:tc>
        <w:tc>
          <w:tcPr>
            <w:tcW w:w="12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938,556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1,031,569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1,444,333</w:t>
            </w:r>
          </w:p>
        </w:tc>
        <w:tc>
          <w:tcPr>
            <w:tcW w:w="12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1,125,383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FRESHPET, INC. AND SUBSIDIARIES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19"/>
        <w:spacing w:after="0"/>
        <w:rPr>
          <w:sz w:val="20"/>
          <w:szCs w:val="20"/>
          <w:color w:val="auto"/>
        </w:rPr>
      </w:pPr>
      <w:r>
        <w:rPr>
          <w:rFonts w:ascii="Arial" w:cs="Arial" w:eastAsia="Arial" w:hAnsi="Arial"/>
          <w:sz w:val="18"/>
          <w:szCs w:val="18"/>
          <w:color w:val="auto"/>
        </w:rPr>
        <w:t>(Unaudited,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For the Three Months Ended</w:t>
            </w:r>
          </w:p>
        </w:tc>
        <w:tc>
          <w:tcPr>
            <w:tcW w:w="254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For the Nine Months Ended</w:t>
            </w:r>
          </w:p>
        </w:tc>
      </w:tr>
      <w:tr>
        <w:trPr>
          <w:trHeight w:val="225"/>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9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200,621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151,333</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551,474</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429,511</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134,328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106,788</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375,177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289,187</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66,293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44,545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176,297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140,324</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73,371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60,449</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221,638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190,241</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(7,078)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(15,904)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(45,341)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(49,917)</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and Other Income,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9,185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492</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(4,148)</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(1,817)</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(10,648)</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(4,060)</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(1,561)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(1,463)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(3,568)</w:t>
            </w: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(7,096)</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(17,465)</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(46,804)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(53,485)</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LOSS ON EQUITY METHOD INVESTMENT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943</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1,890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2,969</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ATTRIBUTABLE TO COMMON STOCKHOLDERS</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(7,166)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(18,449)</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(48,904)</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(56,577)</w:t>
            </w:r>
          </w:p>
        </w:tc>
      </w:tr>
      <w:tr>
        <w:trPr>
          <w:trHeight w:val="183"/>
        </w:trPr>
        <w:tc>
          <w:tcPr>
            <w:tcW w:w="598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foreign currency translation</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(2,329)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895</w:t>
            </w:r>
          </w:p>
        </w:tc>
      </w:tr>
      <w:tr>
        <w:trPr>
          <w:trHeight w:val="203"/>
        </w:trPr>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Unrealized gain on available for sale investments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COMPREHENSIVE (LOSS) INCOME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(2,329)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1,166</w:t>
            </w:r>
          </w:p>
        </w:tc>
      </w:tr>
      <w:tr>
        <w:trPr>
          <w:trHeight w:val="20"/>
        </w:trPr>
        <w:tc>
          <w:tcPr>
            <w:tcW w:w="5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spacing w:after="0" w:line="182" w:lineRule="exact"/>
              <w:rPr>
                <w:sz w:val="20"/>
                <w:szCs w:val="20"/>
                <w:color w:val="auto"/>
              </w:rPr>
            </w:pPr>
            <w:r>
              <w:rPr>
                <w:rFonts w:ascii="Arial" w:cs="Arial" w:eastAsia="Arial" w:hAnsi="Arial"/>
                <w:sz w:val="18"/>
                <w:szCs w:val="18"/>
                <w:color w:val="auto"/>
              </w:rPr>
              <w:t>TOTAL COMPREHENSIVE LOSS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(7,462)</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(18,770)</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(51,233)</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(55,411)</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5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 PER SHARE ATTRIBUTABLE TO COMMON</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5980" w:type="dxa"/>
            <w:vAlign w:val="bottom"/>
          </w:tcPr>
          <w:p>
            <w:pPr>
              <w:ind w:left="340"/>
              <w:spacing w:after="0" w:line="182" w:lineRule="exact"/>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(0.15)</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(0.39)</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(1.02)</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(1.24)</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(1.24)</w:t>
            </w:r>
          </w:p>
        </w:tc>
      </w:tr>
      <w:tr>
        <w:trPr>
          <w:trHeight w:val="170"/>
        </w:trPr>
        <w:tc>
          <w:tcPr>
            <w:tcW w:w="5980" w:type="dxa"/>
            <w:vAlign w:val="bottom"/>
            <w:tcBorders>
              <w:top w:val="single" w:sz="8" w:color="CCEEFF"/>
            </w:tcBorders>
          </w:tcPr>
          <w:p>
            <w:pPr>
              <w:spacing w:after="0" w:line="170" w:lineRule="exact"/>
              <w:rPr>
                <w:sz w:val="20"/>
                <w:szCs w:val="20"/>
                <w:color w:val="auto"/>
              </w:rPr>
            </w:pPr>
            <w:r>
              <w:rPr>
                <w:rFonts w:ascii="Arial" w:cs="Arial" w:eastAsia="Arial" w:hAnsi="Arial"/>
                <w:sz w:val="18"/>
                <w:szCs w:val="18"/>
                <w:color w:val="auto"/>
              </w:rPr>
              <w:t>WEIGHTED AVERAGE SHARES OF COMMON STOCK</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48,194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47,856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48,123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45,545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5980" w:type="dxa"/>
            <w:vAlign w:val="bottom"/>
          </w:tcPr>
          <w:p>
            <w:pPr>
              <w:ind w:left="340"/>
              <w:spacing w:after="0" w:line="182"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48,194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47,856</w:t>
            </w:r>
          </w:p>
        </w:tc>
        <w:tc>
          <w:tcPr>
            <w:tcW w:w="220" w:type="dxa"/>
            <w:vAlign w:val="bottom"/>
          </w:tcPr>
          <w:p>
            <w:pPr>
              <w:spacing w:after="0"/>
              <w:rPr>
                <w:sz w:val="15"/>
                <w:szCs w:val="15"/>
                <w:color w:val="auto"/>
              </w:rPr>
            </w:pPr>
          </w:p>
        </w:tc>
        <w:tc>
          <w:tcPr>
            <w:tcW w:w="11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48,123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45,545</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FRESHPET, INC. AND SUBSIDIARIES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color w:val="auto"/>
        </w:rPr>
        <w:t>(Unaudited,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62"/>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Paid-in</w:t>
            </w: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1040" w:type="dxa"/>
            <w:vAlign w:val="bottom"/>
            <w:gridSpan w:val="4"/>
          </w:tcPr>
          <w:p>
            <w:pPr>
              <w:ind w:left="80"/>
              <w:spacing w:after="0"/>
              <w:rPr>
                <w:sz w:val="20"/>
                <w:szCs w:val="20"/>
                <w:color w:val="auto"/>
              </w:rPr>
            </w:pPr>
            <w:r>
              <w:rPr>
                <w:rFonts w:ascii="Arial" w:cs="Arial" w:eastAsia="Arial" w:hAnsi="Arial"/>
                <w:sz w:val="14"/>
                <w:szCs w:val="14"/>
                <w:color w:val="auto"/>
              </w:rPr>
              <w:t>Stockholders'</w:t>
            </w:r>
          </w:p>
        </w:tc>
      </w:tr>
      <w:tr>
        <w:trPr>
          <w:trHeight w:val="167"/>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(Loss) Income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r>
      <w:tr>
        <w:trPr>
          <w:trHeight w:val="196"/>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June 30, 2023</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48,185</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1,275,510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(336,855</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(663)</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937,784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rPr>
              <w:t>Exercise of options to purchase common stock</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1,111</w:t>
            </w:r>
          </w:p>
        </w:tc>
        <w:tc>
          <w:tcPr>
            <w:tcW w:w="140" w:type="dxa"/>
            <w:vAlign w:val="bottom"/>
          </w:tcPr>
          <w:p>
            <w:pPr>
              <w:spacing w:after="0"/>
              <w:rPr>
                <w:sz w:val="12"/>
                <w:szCs w:val="12"/>
                <w:color w:val="auto"/>
              </w:rPr>
            </w:pPr>
          </w:p>
        </w:tc>
        <w:tc>
          <w:tcPr>
            <w:tcW w:w="820" w:type="dxa"/>
            <w:vAlign w:val="bottom"/>
            <w:gridSpan w:val="2"/>
          </w:tcPr>
          <w:p>
            <w:pPr>
              <w:jc w:val="right"/>
              <w:ind w:right="99"/>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1,111</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units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7,132</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7,132</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(7,166)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(7,166)</w:t>
            </w:r>
          </w:p>
        </w:tc>
      </w:tr>
      <w:tr>
        <w:trPr>
          <w:trHeight w:val="196"/>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September 30, 2023</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48,240</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1,283,744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(344,021</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938,556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99"/>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62"/>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Paid-in</w:t>
            </w: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1040" w:type="dxa"/>
            <w:vAlign w:val="bottom"/>
            <w:gridSpan w:val="4"/>
          </w:tcPr>
          <w:p>
            <w:pPr>
              <w:ind w:left="80"/>
              <w:spacing w:after="0"/>
              <w:rPr>
                <w:sz w:val="20"/>
                <w:szCs w:val="20"/>
                <w:color w:val="auto"/>
              </w:rPr>
            </w:pPr>
            <w:r>
              <w:rPr>
                <w:rFonts w:ascii="Arial" w:cs="Arial" w:eastAsia="Arial" w:hAnsi="Arial"/>
                <w:sz w:val="14"/>
                <w:szCs w:val="14"/>
                <w:color w:val="auto"/>
              </w:rPr>
              <w:t>Stockholders'</w:t>
            </w:r>
          </w:p>
        </w:tc>
      </w:tr>
      <w:tr>
        <w:trPr>
          <w:trHeight w:val="167"/>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(Loss) Income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r>
      <w:tr>
        <w:trPr>
          <w:trHeight w:val="196"/>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June 30, 2022</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47,834</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1,305,260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(273,751</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1,367</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1,032,668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rPr>
              <w:t>Exercise of options to purchase common stock</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99"/>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units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6,671</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6,671</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Issuance of partner warrants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9,775</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9,775</w:t>
            </w: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Shares issued in primary offering, net of</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issuance costs</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(341)</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(341)</w:t>
            </w:r>
          </w:p>
        </w:tc>
      </w:tr>
      <w:tr>
        <w:trPr>
          <w:trHeight w:val="157"/>
        </w:trPr>
        <w:tc>
          <w:tcPr>
            <w:tcW w:w="3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Unrealized gain on available for sale</w:t>
            </w: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(592)</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(592)</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(18,449)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(18,449)</w:t>
            </w:r>
          </w:p>
        </w:tc>
      </w:tr>
      <w:tr>
        <w:trPr>
          <w:trHeight w:val="156"/>
        </w:trPr>
        <w:tc>
          <w:tcPr>
            <w:tcW w:w="3100" w:type="dxa"/>
            <w:vAlign w:val="bottom"/>
            <w:tcBorders>
              <w:top w:val="single" w:sz="8" w:color="CCEEFF"/>
              <w:bottom w:val="single" w:sz="8" w:color="CCEEFF"/>
            </w:tcBorders>
          </w:tcPr>
          <w:p>
            <w:pPr>
              <w:spacing w:after="0" w:line="155" w:lineRule="exact"/>
              <w:rPr>
                <w:sz w:val="20"/>
                <w:szCs w:val="20"/>
                <w:color w:val="auto"/>
              </w:rPr>
            </w:pPr>
            <w:r>
              <w:rPr>
                <w:rFonts w:ascii="Arial" w:cs="Arial" w:eastAsia="Arial" w:hAnsi="Arial"/>
                <w:sz w:val="14"/>
                <w:szCs w:val="14"/>
                <w:color w:val="auto"/>
              </w:rPr>
              <w:t>BALANCES, September 30, 2022</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47,838</w:t>
            </w:r>
          </w:p>
        </w:tc>
        <w:tc>
          <w:tcPr>
            <w:tcW w:w="20" w:type="dxa"/>
            <w:vAlign w:val="bottom"/>
            <w:tcBorders>
              <w:top w:val="single" w:sz="8" w:color="CCEEFF"/>
              <w:bottom w:val="single" w:sz="8" w:color="CCEEFF"/>
            </w:tcBorders>
          </w:tcPr>
          <w:p>
            <w:pPr>
              <w:spacing w:after="0"/>
              <w:rPr>
                <w:sz w:val="13"/>
                <w:szCs w:val="13"/>
                <w:color w:val="auto"/>
              </w:rPr>
            </w:pPr>
          </w:p>
        </w:tc>
        <w:tc>
          <w:tcPr>
            <w:tcW w:w="2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1,321,299</w:t>
            </w:r>
          </w:p>
        </w:tc>
        <w:tc>
          <w:tcPr>
            <w:tcW w:w="22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(292,200</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1,046</w:t>
            </w:r>
          </w:p>
        </w:tc>
        <w:tc>
          <w:tcPr>
            <w:tcW w:w="220" w:type="dxa"/>
            <w:vAlign w:val="bottom"/>
            <w:tcBorders>
              <w:top w:val="single" w:sz="8" w:color="CCEEFF"/>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1,029,937</w:t>
            </w:r>
          </w:p>
        </w:tc>
        <w:tc>
          <w:tcPr>
            <w:tcW w:w="100" w:type="dxa"/>
            <w:vAlign w:val="bottom"/>
            <w:tcBorders>
              <w:top w:val="single" w:sz="8" w:color="CCEEFF"/>
              <w:bottom w:val="single" w:sz="8" w:color="CCEEFF"/>
            </w:tcBorders>
          </w:tcPr>
          <w:p>
            <w:pPr>
              <w:spacing w:after="0"/>
              <w:rPr>
                <w:sz w:val="13"/>
                <w:szCs w:val="13"/>
                <w:color w:val="auto"/>
              </w:rPr>
            </w:pPr>
          </w:p>
        </w:tc>
      </w:tr>
      <w:tr>
        <w:trPr>
          <w:trHeight w:val="20"/>
        </w:trPr>
        <w:tc>
          <w:tcPr>
            <w:tcW w:w="3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62"/>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Paid-in</w:t>
            </w: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1040" w:type="dxa"/>
            <w:vAlign w:val="bottom"/>
            <w:gridSpan w:val="4"/>
          </w:tcPr>
          <w:p>
            <w:pPr>
              <w:ind w:left="80"/>
              <w:spacing w:after="0"/>
              <w:rPr>
                <w:sz w:val="20"/>
                <w:szCs w:val="20"/>
                <w:color w:val="auto"/>
              </w:rPr>
            </w:pPr>
            <w:r>
              <w:rPr>
                <w:rFonts w:ascii="Arial" w:cs="Arial" w:eastAsia="Arial" w:hAnsi="Arial"/>
                <w:sz w:val="14"/>
                <w:szCs w:val="14"/>
                <w:color w:val="auto"/>
              </w:rPr>
              <w:t>Stockholders'</w:t>
            </w:r>
          </w:p>
        </w:tc>
      </w:tr>
      <w:tr>
        <w:trPr>
          <w:trHeight w:val="167"/>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(Loss) Income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r>
      <w:tr>
        <w:trPr>
          <w:trHeight w:val="195"/>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December 31, 2022</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48,051</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1,325,524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(295,117</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1,370</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1,031,569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rPr>
              <w:t>Exercise of options to purchase common stock</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4,172</w:t>
            </w:r>
          </w:p>
        </w:tc>
        <w:tc>
          <w:tcPr>
            <w:tcW w:w="140" w:type="dxa"/>
            <w:vAlign w:val="bottom"/>
          </w:tcPr>
          <w:p>
            <w:pPr>
              <w:spacing w:after="0"/>
              <w:rPr>
                <w:sz w:val="12"/>
                <w:szCs w:val="12"/>
                <w:color w:val="auto"/>
              </w:rPr>
            </w:pPr>
          </w:p>
        </w:tc>
        <w:tc>
          <w:tcPr>
            <w:tcW w:w="820" w:type="dxa"/>
            <w:vAlign w:val="bottom"/>
            <w:gridSpan w:val="2"/>
          </w:tcPr>
          <w:p>
            <w:pPr>
              <w:jc w:val="right"/>
              <w:ind w:right="99"/>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4,172</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units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(859)</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(859)</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21,118</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21,118</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Purchase of capped call option</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(66,211)</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(66,211)</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(2,329)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(2,329)</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(48,904)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(48,904)</w:t>
            </w:r>
          </w:p>
        </w:tc>
      </w:tr>
      <w:tr>
        <w:trPr>
          <w:trHeight w:val="155"/>
        </w:trPr>
        <w:tc>
          <w:tcPr>
            <w:tcW w:w="3100" w:type="dxa"/>
            <w:vAlign w:val="bottom"/>
            <w:tcBorders>
              <w:top w:val="single" w:sz="8" w:color="CCEEFF"/>
              <w:bottom w:val="single" w:sz="8" w:color="CCEEFF"/>
            </w:tcBorders>
          </w:tcPr>
          <w:p>
            <w:pPr>
              <w:spacing w:after="0" w:line="155" w:lineRule="exact"/>
              <w:rPr>
                <w:sz w:val="20"/>
                <w:szCs w:val="20"/>
                <w:color w:val="auto"/>
              </w:rPr>
            </w:pPr>
            <w:r>
              <w:rPr>
                <w:rFonts w:ascii="Arial" w:cs="Arial" w:eastAsia="Arial" w:hAnsi="Arial"/>
                <w:sz w:val="14"/>
                <w:szCs w:val="14"/>
                <w:color w:val="auto"/>
              </w:rPr>
              <w:t>BALANCES, September 30, 2023</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48,240</w:t>
            </w:r>
          </w:p>
        </w:tc>
        <w:tc>
          <w:tcPr>
            <w:tcW w:w="20" w:type="dxa"/>
            <w:vAlign w:val="bottom"/>
            <w:tcBorders>
              <w:top w:val="single" w:sz="8" w:color="CCEEFF"/>
              <w:bottom w:val="single" w:sz="8" w:color="CCEEFF"/>
            </w:tcBorders>
          </w:tcPr>
          <w:p>
            <w:pPr>
              <w:spacing w:after="0"/>
              <w:rPr>
                <w:sz w:val="13"/>
                <w:szCs w:val="13"/>
                <w:color w:val="auto"/>
              </w:rPr>
            </w:pPr>
          </w:p>
        </w:tc>
        <w:tc>
          <w:tcPr>
            <w:tcW w:w="2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1,283,744</w:t>
            </w:r>
          </w:p>
        </w:tc>
        <w:tc>
          <w:tcPr>
            <w:tcW w:w="22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(344,021</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(959)</w:t>
            </w:r>
          </w:p>
        </w:tc>
        <w:tc>
          <w:tcPr>
            <w:tcW w:w="220" w:type="dxa"/>
            <w:vAlign w:val="bottom"/>
            <w:tcBorders>
              <w:top w:val="single" w:sz="8" w:color="CCEEFF"/>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938,556</w:t>
            </w:r>
          </w:p>
        </w:tc>
        <w:tc>
          <w:tcPr>
            <w:tcW w:w="100" w:type="dxa"/>
            <w:vAlign w:val="bottom"/>
            <w:tcBorders>
              <w:top w:val="single" w:sz="8" w:color="CCEEFF"/>
              <w:bottom w:val="single" w:sz="8" w:color="CCEEFF"/>
            </w:tcBorders>
          </w:tcPr>
          <w:p>
            <w:pPr>
              <w:spacing w:after="0"/>
              <w:rPr>
                <w:sz w:val="13"/>
                <w:szCs w:val="13"/>
                <w:color w:val="auto"/>
              </w:rPr>
            </w:pPr>
          </w:p>
        </w:tc>
      </w:tr>
      <w:tr>
        <w:trPr>
          <w:trHeight w:val="20"/>
        </w:trPr>
        <w:tc>
          <w:tcPr>
            <w:tcW w:w="3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Accumulated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62"/>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Paid-in</w:t>
            </w: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Treasury</w:t>
            </w:r>
          </w:p>
        </w:tc>
        <w:tc>
          <w:tcPr>
            <w:tcW w:w="1040" w:type="dxa"/>
            <w:vAlign w:val="bottom"/>
            <w:gridSpan w:val="4"/>
          </w:tcPr>
          <w:p>
            <w:pPr>
              <w:ind w:left="80"/>
              <w:spacing w:after="0"/>
              <w:rPr>
                <w:sz w:val="20"/>
                <w:szCs w:val="20"/>
                <w:color w:val="auto"/>
              </w:rPr>
            </w:pPr>
            <w:r>
              <w:rPr>
                <w:rFonts w:ascii="Arial" w:cs="Arial" w:eastAsia="Arial" w:hAnsi="Arial"/>
                <w:sz w:val="14"/>
                <w:szCs w:val="14"/>
                <w:color w:val="auto"/>
              </w:rPr>
              <w:t>Stockholders'</w:t>
            </w:r>
          </w:p>
        </w:tc>
      </w:tr>
      <w:tr>
        <w:trPr>
          <w:trHeight w:val="167"/>
        </w:trPr>
        <w:tc>
          <w:tcPr>
            <w:tcW w:w="3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820" w:type="dxa"/>
            <w:vAlign w:val="bottom"/>
            <w:gridSpan w:val="2"/>
          </w:tcPr>
          <w:p>
            <w:pPr>
              <w:jc w:val="right"/>
              <w:ind w:right="31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(Loss) Income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r>
      <w:tr>
        <w:trPr>
          <w:trHeight w:val="196"/>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December 31, 2021</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43,449</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955,710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(235,623</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719,754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rPr>
              <w:t>Exercise of options to purchase common stock</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329</w:t>
            </w:r>
          </w:p>
        </w:tc>
        <w:tc>
          <w:tcPr>
            <w:tcW w:w="140" w:type="dxa"/>
            <w:vAlign w:val="bottom"/>
          </w:tcPr>
          <w:p>
            <w:pPr>
              <w:spacing w:after="0"/>
              <w:rPr>
                <w:sz w:val="12"/>
                <w:szCs w:val="12"/>
                <w:color w:val="auto"/>
              </w:rPr>
            </w:pPr>
          </w:p>
        </w:tc>
        <w:tc>
          <w:tcPr>
            <w:tcW w:w="820" w:type="dxa"/>
            <w:vAlign w:val="bottom"/>
            <w:gridSpan w:val="2"/>
          </w:tcPr>
          <w:p>
            <w:pPr>
              <w:jc w:val="right"/>
              <w:ind w:right="99"/>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329</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Vesting of restricted stock units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(1,279)</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(1,278)</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19,260</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19,260</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Issuance of partner warrants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9,775</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9,775</w:t>
            </w: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Shares issued in primary offering, net of</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issuance costs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4,320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337,504</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337,508</w:t>
            </w:r>
          </w:p>
        </w:tc>
      </w:tr>
      <w:tr>
        <w:trPr>
          <w:trHeight w:val="157"/>
        </w:trPr>
        <w:tc>
          <w:tcPr>
            <w:tcW w:w="3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Unrealized gain on available for sale</w:t>
            </w: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895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895</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(56,577)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(56,577)</w:t>
            </w:r>
          </w:p>
        </w:tc>
      </w:tr>
      <w:tr>
        <w:trPr>
          <w:trHeight w:val="155"/>
        </w:trPr>
        <w:tc>
          <w:tcPr>
            <w:tcW w:w="3100" w:type="dxa"/>
            <w:vAlign w:val="bottom"/>
            <w:tcBorders>
              <w:top w:val="single" w:sz="8" w:color="CCEEFF"/>
              <w:bottom w:val="single" w:sz="8" w:color="CCEEFF"/>
            </w:tcBorders>
          </w:tcPr>
          <w:p>
            <w:pPr>
              <w:spacing w:after="0" w:line="155" w:lineRule="exact"/>
              <w:rPr>
                <w:sz w:val="20"/>
                <w:szCs w:val="20"/>
                <w:color w:val="auto"/>
              </w:rPr>
            </w:pPr>
            <w:r>
              <w:rPr>
                <w:rFonts w:ascii="Arial" w:cs="Arial" w:eastAsia="Arial" w:hAnsi="Arial"/>
                <w:sz w:val="14"/>
                <w:szCs w:val="14"/>
                <w:color w:val="auto"/>
              </w:rPr>
              <w:t>BALANCES, September 30, 2022</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47,838</w:t>
            </w:r>
          </w:p>
        </w:tc>
        <w:tc>
          <w:tcPr>
            <w:tcW w:w="2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1,321,299</w:t>
            </w:r>
          </w:p>
        </w:tc>
        <w:tc>
          <w:tcPr>
            <w:tcW w:w="22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(292,200</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1,046</w:t>
            </w:r>
          </w:p>
        </w:tc>
        <w:tc>
          <w:tcPr>
            <w:tcW w:w="220" w:type="dxa"/>
            <w:vAlign w:val="bottom"/>
            <w:tcBorders>
              <w:top w:val="single" w:sz="8" w:color="CCEEFF"/>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2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1,029,937</w:t>
            </w:r>
          </w:p>
        </w:tc>
        <w:tc>
          <w:tcPr>
            <w:tcW w:w="100" w:type="dxa"/>
            <w:vAlign w:val="bottom"/>
            <w:tcBorders>
              <w:top w:val="single" w:sz="8" w:color="CCEEFF"/>
              <w:bottom w:val="single" w:sz="8" w:color="CCEEFF"/>
            </w:tcBorders>
          </w:tcPr>
          <w:p>
            <w:pPr>
              <w:spacing w:after="0"/>
              <w:rPr>
                <w:sz w:val="13"/>
                <w:szCs w:val="13"/>
                <w:color w:val="auto"/>
              </w:rPr>
            </w:pPr>
          </w:p>
        </w:tc>
      </w:tr>
      <w:tr>
        <w:trPr>
          <w:trHeight w:val="20"/>
        </w:trPr>
        <w:tc>
          <w:tcPr>
            <w:tcW w:w="3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FRESHPET, INC. AND SUBSIDIARIES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19"/>
        <w:spacing w:after="0"/>
        <w:rPr>
          <w:sz w:val="20"/>
          <w:szCs w:val="20"/>
          <w:color w:val="auto"/>
        </w:rPr>
      </w:pPr>
      <w:r>
        <w:rPr>
          <w:rFonts w:ascii="Arial" w:cs="Arial" w:eastAsia="Arial" w:hAnsi="Arial"/>
          <w:sz w:val="18"/>
          <w:szCs w:val="18"/>
          <w:color w:val="auto"/>
        </w:rPr>
        <w:t>(Unaudited,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5"/>
        </w:trPr>
        <w:tc>
          <w:tcPr>
            <w:tcW w:w="8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(48,904)</w:t>
            </w:r>
          </w:p>
        </w:tc>
        <w:tc>
          <w:tcPr>
            <w:tcW w:w="6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(56,577)</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Adjustments to reconcile net loss to net cash flows provided by (used in) operating activities: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Provision for loss (gains) on accounts receivable</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8000" w:type="dxa"/>
            <w:vAlign w:val="bottom"/>
          </w:tcPr>
          <w:p>
            <w:pPr>
              <w:ind w:left="660"/>
              <w:spacing w:after="0" w:line="202" w:lineRule="exact"/>
              <w:rPr>
                <w:sz w:val="20"/>
                <w:szCs w:val="20"/>
                <w:color w:val="auto"/>
              </w:rPr>
            </w:pPr>
            <w:r>
              <w:rPr>
                <w:rFonts w:ascii="Arial" w:cs="Arial" w:eastAsia="Arial" w:hAnsi="Arial"/>
                <w:sz w:val="18"/>
                <w:szCs w:val="18"/>
                <w:color w:val="auto"/>
              </w:rPr>
              <w:t>Loss on disposal of equipment</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24,952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203"/>
        </w:trPr>
        <w:tc>
          <w:tcPr>
            <w:tcW w:w="8000" w:type="dxa"/>
            <w:vAlign w:val="bottom"/>
          </w:tcPr>
          <w:p>
            <w:pPr>
              <w:ind w:left="660"/>
              <w:spacing w:after="0" w:line="202" w:lineRule="exact"/>
              <w:rPr>
                <w:sz w:val="20"/>
                <w:szCs w:val="20"/>
                <w:color w:val="auto"/>
              </w:rPr>
            </w:pPr>
            <w:r>
              <w:rPr>
                <w:rFonts w:ascii="Arial" w:cs="Arial" w:eastAsia="Arial" w:hAnsi="Arial"/>
                <w:sz w:val="18"/>
                <w:szCs w:val="18"/>
                <w:color w:val="auto"/>
              </w:rPr>
              <w:t>Inventory obsolescence</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45,436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24,422</w:t>
            </w:r>
          </w:p>
        </w:tc>
        <w:tc>
          <w:tcPr>
            <w:tcW w:w="0" w:type="dxa"/>
            <w:vAlign w:val="bottom"/>
          </w:tcPr>
          <w:p>
            <w:pPr>
              <w:spacing w:after="0"/>
              <w:rPr>
                <w:sz w:val="1"/>
                <w:szCs w:val="1"/>
                <w:color w:val="auto"/>
              </w:rPr>
            </w:pPr>
          </w:p>
        </w:tc>
      </w:tr>
      <w:tr>
        <w:trPr>
          <w:trHeight w:val="203"/>
        </w:trPr>
        <w:tc>
          <w:tcPr>
            <w:tcW w:w="8000" w:type="dxa"/>
            <w:vAlign w:val="bottom"/>
          </w:tcPr>
          <w:p>
            <w:pPr>
              <w:ind w:left="660"/>
              <w:spacing w:after="0" w:line="202" w:lineRule="exact"/>
              <w:rPr>
                <w:sz w:val="20"/>
                <w:szCs w:val="20"/>
                <w:color w:val="auto"/>
              </w:rPr>
            </w:pPr>
            <w:r>
              <w:rPr>
                <w:rFonts w:ascii="Arial" w:cs="Arial" w:eastAsia="Arial" w:hAnsi="Arial"/>
                <w:sz w:val="18"/>
                <w:szCs w:val="18"/>
                <w:color w:val="auto"/>
              </w:rPr>
              <w:t>Write-off and amortization of deferred financing costs and loan discount</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3,548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Change in operating lease right of use asset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3"/>
        </w:trPr>
        <w:tc>
          <w:tcPr>
            <w:tcW w:w="8000" w:type="dxa"/>
            <w:vAlign w:val="bottom"/>
          </w:tcPr>
          <w:p>
            <w:pPr>
              <w:ind w:left="660"/>
              <w:spacing w:after="0" w:line="202" w:lineRule="exact"/>
              <w:rPr>
                <w:sz w:val="20"/>
                <w:szCs w:val="20"/>
                <w:color w:val="auto"/>
              </w:rPr>
            </w:pPr>
            <w:r>
              <w:rPr>
                <w:rFonts w:ascii="Arial" w:cs="Arial" w:eastAsia="Arial" w:hAnsi="Arial"/>
                <w:sz w:val="18"/>
                <w:szCs w:val="18"/>
                <w:color w:val="auto"/>
              </w:rPr>
              <w:t>Loss on equity method investment</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98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3,148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(22,403)</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9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(32,215)</w:t>
            </w:r>
          </w:p>
        </w:tc>
        <w:tc>
          <w:tcPr>
            <w:tcW w:w="0" w:type="dxa"/>
            <w:vAlign w:val="bottom"/>
          </w:tcPr>
          <w:p>
            <w:pPr>
              <w:spacing w:after="0"/>
              <w:rPr>
                <w:sz w:val="1"/>
                <w:szCs w:val="1"/>
                <w:color w:val="auto"/>
              </w:rPr>
            </w:pPr>
          </w:p>
        </w:tc>
      </w:tr>
      <w:tr>
        <w:trPr>
          <w:trHeight w:val="203"/>
        </w:trPr>
        <w:tc>
          <w:tcPr>
            <w:tcW w:w="8000" w:type="dxa"/>
            <w:vAlign w:val="bottom"/>
          </w:tcPr>
          <w:p>
            <w:pPr>
              <w:ind w:left="9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98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3"/>
        </w:trPr>
        <w:tc>
          <w:tcPr>
            <w:tcW w:w="8000" w:type="dxa"/>
            <w:vAlign w:val="bottom"/>
          </w:tcPr>
          <w:p>
            <w:pPr>
              <w:ind w:left="9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98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11,109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03"/>
        </w:trPr>
        <w:tc>
          <w:tcPr>
            <w:tcW w:w="8000" w:type="dxa"/>
            <w:vAlign w:val="bottom"/>
          </w:tcPr>
          <w:p>
            <w:pPr>
              <w:ind w:left="980"/>
              <w:spacing w:after="0" w:line="202" w:lineRule="exact"/>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1300"/>
              <w:spacing w:after="0" w:line="196" w:lineRule="exact"/>
              <w:rPr>
                <w:sz w:val="20"/>
                <w:szCs w:val="20"/>
                <w:color w:val="auto"/>
              </w:rPr>
            </w:pPr>
            <w:r>
              <w:rPr>
                <w:rFonts w:ascii="Arial" w:cs="Arial" w:eastAsia="Arial" w:hAnsi="Arial"/>
                <w:sz w:val="18"/>
                <w:szCs w:val="18"/>
                <w:color w:val="auto"/>
              </w:rPr>
              <w:t>Net cash flows provided by (used in) operating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(53,680)</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short-term investments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(113,441)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Proceeds from maturities of short-term investments</w:t>
            </w: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113,441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Investments in equity method investment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Acquisitions of property, plant and equipment, software and deposits on equipment</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(161,642)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(167,437)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1300"/>
              <w:spacing w:after="0" w:line="196" w:lineRule="exact"/>
              <w:rPr>
                <w:sz w:val="20"/>
                <w:szCs w:val="20"/>
                <w:color w:val="auto"/>
              </w:rPr>
            </w:pPr>
            <w:r>
              <w:rPr>
                <w:rFonts w:ascii="Arial" w:cs="Arial" w:eastAsia="Arial" w:hAnsi="Arial"/>
                <w:sz w:val="18"/>
                <w:szCs w:val="18"/>
                <w:color w:val="auto"/>
              </w:rPr>
              <w:t>Net cash flows used in investing activities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(161,642)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(190,570)</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common shares issued in primary offering, net of issuance cost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337,508</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Proceeds from exercise of options to purchase common stock</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4,172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withholdings related to net shares settlements of restricted stock units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Proceeds from borrowings under Credit Facility</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Repayment of borrowings under Credit Facilities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Purchase of capped call option</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(66,211)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convertible senior notes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393,518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Principal payments under finance lease obligations</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ind w:left="1460"/>
              <w:spacing w:after="0" w:line="196" w:lineRule="exact"/>
              <w:rPr>
                <w:sz w:val="20"/>
                <w:szCs w:val="20"/>
                <w:color w:val="auto"/>
              </w:rPr>
            </w:pPr>
            <w:r>
              <w:rPr>
                <w:rFonts w:ascii="Arial" w:cs="Arial" w:eastAsia="Arial" w:hAnsi="Arial"/>
                <w:sz w:val="18"/>
                <w:szCs w:val="18"/>
                <w:color w:val="auto"/>
              </w:rPr>
              <w:t>Net cash flows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328,046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411,772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205,372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167,522</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338,107</w:t>
            </w:r>
          </w:p>
        </w:tc>
        <w:tc>
          <w:tcPr>
            <w:tcW w:w="600" w:type="dxa"/>
            <w:vAlign w:val="bottom"/>
            <w:gridSpan w:val="2"/>
            <w:shd w:val="clear" w:color="auto" w:fill="CCEEFF"/>
          </w:tcPr>
          <w:p>
            <w:pPr>
              <w:jc w:val="right"/>
              <w:ind w:right="4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240,310</w:t>
            </w:r>
          </w:p>
        </w:tc>
        <w:tc>
          <w:tcPr>
            <w:tcW w:w="0" w:type="dxa"/>
            <w:vAlign w:val="bottom"/>
          </w:tcPr>
          <w:p>
            <w:pPr>
              <w:spacing w:after="0"/>
              <w:rPr>
                <w:sz w:val="1"/>
                <w:szCs w:val="1"/>
                <w:color w:val="auto"/>
              </w:rPr>
            </w:pPr>
          </w:p>
        </w:tc>
      </w:tr>
      <w:tr>
        <w:trPr>
          <w:trHeight w:val="183"/>
        </w:trPr>
        <w:tc>
          <w:tcPr>
            <w:tcW w:w="800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color w:val="auto"/>
              </w:rPr>
              <w:t>SUPPLEMENTAL CASH FLOW INFORMATION:</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8,691</w:t>
            </w:r>
          </w:p>
        </w:tc>
        <w:tc>
          <w:tcPr>
            <w:tcW w:w="6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NON-CASH FINANCING AND INVESTING ACTIVITIES: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Property, plant and equipment purchases in accounts payable and accrued expenses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23,030</w:t>
            </w:r>
          </w:p>
        </w:tc>
        <w:tc>
          <w:tcPr>
            <w:tcW w:w="6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03"/>
        </w:trPr>
        <w:tc>
          <w:tcPr>
            <w:tcW w:w="8000" w:type="dxa"/>
            <w:vAlign w:val="bottom"/>
          </w:tcPr>
          <w:p>
            <w:pPr>
              <w:ind w:left="500"/>
              <w:spacing w:after="0" w:line="202" w:lineRule="exact"/>
              <w:rPr>
                <w:sz w:val="20"/>
                <w:szCs w:val="20"/>
                <w:color w:val="auto"/>
              </w:rPr>
            </w:pPr>
            <w:r>
              <w:rPr>
                <w:rFonts w:ascii="Arial" w:cs="Arial" w:eastAsia="Arial" w:hAnsi="Arial"/>
                <w:sz w:val="18"/>
                <w:szCs w:val="18"/>
                <w:color w:val="auto"/>
              </w:rPr>
              <w:t>Non-cash addition of finance lease to property, plant and equipment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29,187</w:t>
            </w: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Issuance of partner warrants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8" w:name="page9"/>
    <w:bookmarkEnd w:id="8"/>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the Business and Summary of Significant Accounting Policies: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Nature of the Business </w:t>
      </w:r>
      <w:r>
        <w:rPr>
          <w:rFonts w:ascii="Arial" w:cs="Arial" w:eastAsia="Arial" w:hAnsi="Arial"/>
          <w:sz w:val="18"/>
          <w:szCs w:val="18"/>
          <w:color w:val="auto"/>
        </w:rPr>
        <w:t>– Freshpet, Inc. (hereafter referred to as “Freshpet”, the “Company”, “we,” "us" or “our”), a Delaware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manufactures and markets natural fresh meals and treats for dogs and cats. The Company’s products are distributed throughout the United States, Canada and other international markets, into major retail classes including Grocery (including online), Mass and Club, Pet Specialty, and Natural retail.</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accounting principles generally accepted in the U.S. (“U.S. GAAP”). The unaudited condensed consolidated financial statements include the accounts of the Company as well as the Company’s wholly-owned subsidiaries. All intercompany accounts and transactions have been eliminated in consolidation. The interim unaudited condensed consolidated financial statements have been prepared on the same basis as the annual audited consolidated financial statements and in accordance with the rules and regulations of the United States Securities and Exchange Commission (the “SEC”). In the opinion of management, the interim unaudited financial statements reflect all adjustments, which include only normal recurring adjustments, necessary for the fair presentation of the Company’s financial position as of September 30, 2023, the results of its operations and changes to stockholders’ equity for the three and nine months ended September 30, 2023 and 2022, and its cash flows for the nine months ended September 30, 2023 and 2022. The results for the three and nine months ended September 30, 2023, are not necessarily indicative of results to be expected for the year ending December 31, 2023, or any other interim periods, or any future year or period. All amounts included herein have been rounded except where otherwise stated. As figures are rounded, numbers presented throughout this document may not add up precisely to the totals we provide and percentages may not precisely reflect the absolute figures.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accompanying notes in Item 8 of Part II, “Financial Statements and Supplementary Data,” of our Annual Report on Form 10-K for the year ended December 31, 2022.</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Investment in unconsolidated company </w:t>
      </w:r>
      <w:r>
        <w:rPr>
          <w:rFonts w:ascii="Arial" w:cs="Arial" w:eastAsia="Arial" w:hAnsi="Arial"/>
          <w:sz w:val="18"/>
          <w:szCs w:val="18"/>
          <w:color w:val="auto"/>
        </w:rPr>
        <w:t>– The Company utilizes the equity method to account for investments when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possesses the ability to exercise significant influence, but not control, over the operating and financial policies of the investee. The ability to exercise significant influence is presumed when an investor possesses more than 20% of the voting interests of the investee. This presumption may be overcome based on specific facts and circumstances that demonstrate that the ability to exercise significant influence is restricted.</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our proportionate share of the net income or loss. The Company has elected to record its share of equity in income (losses) of equity method investment on a one-quarter lag based on the most recently available financial statements.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March 10, 2022, the Company invested $ 3,300 to maintain our 19% interest in a privately held company that operates in our industry, with our investments to date totaling $31,200. The Company concluded that it is not the primary beneficiary, which is primarily the result of the Company's conclusion that it does not have the power to direct activities that most significantly impact economic performance. Thus, in 2022, the Company accounted for the investment under the equity method of accounting based on our ability to exercise significant influence, based on our representation on and the makeup of the investee's Board of Directors, even though the Company's percentage of ownership is below 20%. The basis difference between the Company's carrying value of its investment and the amount of underlying equity in net assets of the privately held company is not material to the Company's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March 30, 2023, the Company no longer had representation on the investee's Board of Directors, and therefore determined that significant influence had been lost as of that date. As such, as of March 30, 2023, the Company stopped accounting for the investment as an equity method investment and began to account for the investment under ASC Topic 321 ("ASC 321"), Investments - Equity Securities. Because the investee is a privately held company, there is not a means to obtain a readily determinable fair value of the entity. The Company follows ASC Topic 321 using the measurement alternative to measure investments in investees that do not have readily determinable fair value and over which the Company does not have significant influence. Under ASC 321, the initial carrying value of the investment is equal to the previous carrying amount of the investment under the equity method. As the Company has historically recorded their proportionate share of income or loss from the investee on a one-quarter lag, the final adjustment to the carrying value of the investment was recorded in June 2023. The carrying amount of the investment is subsequently adjusted for any impairment or adjustments resulting from observable price changes in orderly transactions for identical or similar investments of the same issuer, if any. Dividends and distributions, if any, from the investee would be recognized in the period in which they are received and recorded in other income on the consolidated statement of operations. The Company performs a qualitative assessment of whether the investment is impaired at each reporting date. If a qualitative assessment indicates that the investment is impaired, the Company estimates the investment’s fair value in accordance with the principles of ASC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If the fair value is less than the investment’s carrying value, the entity recognizes an impairment loss in earnings equal to the difference between the carrying value and fair value. There were no observable price changes, impairment or other matters that would require adjustment to the investment during the quarter ended September 30, 2023.</w:t>
      </w:r>
    </w:p>
    <w:p>
      <w:pPr>
        <w:spacing w:after="0" w:line="3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March 2023 Issuance of $402.5 million of 3.00% Convertible Senior Notes (the "Convertible Senior Notes")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conjunction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of the $402.5 million Convertible Notes in March 2023, the Company evaluated the debt instrument and its embedded features to determine if the contract or the embedded components of the contract qualified as a derivative that would be required to be separately accounted for in accordance with the relevant accounting literature.</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accounts for the Convertible Senior Notes as a single liability measured at amortized cost. The Company uses the effective interest rate method to amortize the debt issuance costs to interest expense over the respective term of the Convertible Senior Notes.</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Estimates and Uncertainties </w:t>
      </w:r>
      <w:r>
        <w:rPr>
          <w:rFonts w:ascii="Arial" w:cs="Arial" w:eastAsia="Arial" w:hAnsi="Arial"/>
          <w:sz w:val="18"/>
          <w:szCs w:val="18"/>
          <w:color w:val="auto"/>
        </w:rPr>
        <w:t>– The preparation of our consolidated financial statements in conformity with U.S.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determining, among other items, trade incentives, share-based compensation and useful lives for long-lived assets. Actual results, as determined at a later date, could differ from those estimates.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Financial Accounting Standards Board (“FASB”) ASC 820, Fair Value Measurements and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specifies a hierarchy of valuation techniques based on whether the inputs to those valuation techniques are observable or unobservable. Observable inputs reflect 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98" w:lineRule="exact"/>
        <w:rPr>
          <w:sz w:val="20"/>
          <w:szCs w:val="20"/>
          <w:color w:val="auto"/>
        </w:rPr>
      </w:pPr>
    </w:p>
    <w:p>
      <w:pPr>
        <w:jc w:val="both"/>
        <w:ind w:left="660" w:hanging="328"/>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w:t>
      </w:r>
    </w:p>
    <w:p>
      <w:pPr>
        <w:spacing w:after="0" w:line="35" w:lineRule="exact"/>
        <w:rPr>
          <w:rFonts w:ascii="Arial" w:cs="Arial" w:eastAsia="Arial" w:hAnsi="Arial"/>
          <w:sz w:val="18"/>
          <w:szCs w:val="18"/>
          <w:color w:val="auto"/>
        </w:rPr>
      </w:pPr>
    </w:p>
    <w:p>
      <w:pPr>
        <w:jc w:val="both"/>
        <w:ind w:left="660" w:hanging="328"/>
        <w:spacing w:after="0" w:line="24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w:t>
      </w:r>
    </w:p>
    <w:p>
      <w:pPr>
        <w:spacing w:after="0" w:line="39" w:lineRule="exact"/>
        <w:rPr>
          <w:rFonts w:ascii="Arial" w:cs="Arial" w:eastAsia="Arial" w:hAnsi="Arial"/>
          <w:sz w:val="18"/>
          <w:szCs w:val="18"/>
          <w:color w:val="auto"/>
        </w:rPr>
      </w:pPr>
    </w:p>
    <w:p>
      <w:pPr>
        <w:jc w:val="both"/>
        <w:ind w:left="660" w:right="20" w:hanging="328"/>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Financial instruments are considered Level 3 when their fair values are determined using pricing models, discounted cash flows or similar techniques and at least one significant model assumption or input is unobservable.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 w:name="page11"/>
    <w:bookmarkEnd w:id="10"/>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financial assets and liabilities include cash and cash equivalents, receivables, accounts payable and accrued liabilities, the fair values of which approximate their carrying values due to the short-term nature of these instruments. The Company holds certain financial assets within cash and cash equivalents in the form of held-to-maturity treasury bills as we have the ability and intent to hold them to maturity, as such, they are not fair valued each reporting period but instead measured at amortized cost. The fair value of these assets is based on quoted market prices for the same or similar securities within less active markets, which the Company determined to be Level 2 inputs. As of September 30, 2023, the fair value of these treasury bills approximates their carrying value due to the short-term nature of these instruments.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financial and non-financial assets, including the equity method investment/investment in equity securities, operating lease right-of-use assets and property, plant and equipment are reported at their carrying values and are not subject to recurring fair value measurements. We review our long-lived assets for impairment whenever events or changes in circumstances indicate that the carrying amount of an asset may not be recoverable in accordance with ASC 360-10, Accounting for the Impairment or Disposal of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for the fair value of our Convertible Senior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maintained Level 1 and Level 2 assets and liabilities.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holds treasury bills with original maturities when purchased of less than three months, within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carried at amortized cost on the Consolidated Balance Sheet. Treasury bills have been classified as held-to-maturity as we have the ability and intent to hold them to maturity. As of September 30, 2023, the Company had $149,393 of treasury bills within cash equivalents, which included $759 of amortized discount.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Short-Term Investments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from time to time, holds treasury bills with original maturities when purchased of greater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within short-term investments, carried at amortized cost on the Consolidated Balance Sheet. Treasury bills have been classified as held-to-maturity as we have the ability and intent to hold them to maturity. As of September 30, 2023, all of the Company's treasury bills within short-term investments matured at $115,000, which includes $1,559 of interest income.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Trade accounts receivable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allowance for doubtful accounts is based on the Company's assessment of the collectability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The Company regularly reviews the allowance by considering factors such as historical experience, credit quality, the age of the accounts receivable balances and current economic conditions that may affect a customer's ability to pay.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Implementation Costs of Cloud Computing Arrangement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30, 2023 and December 31, 2022, the Company's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costs of our new ERP system associated with our cloud computing arrangement, which were reflected within prepaid and other assets, were $10,192 and $9,444, respectively. The cost will be recognized over the term of the agreement, which began in the first quarter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Information about the Company’s net sales by class of retailer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2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9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Grocery, Mass and Club</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179,121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132,757</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490,262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375,847</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Pet Specialty and Natural</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21,500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18,576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61,212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53,664</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 (a)</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200,621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151,333</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551,474</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429,511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5540" w:right="3780" w:hanging="5532"/>
        <w:spacing w:after="0" w:line="494" w:lineRule="auto"/>
        <w:tabs>
          <w:tab w:leader="none" w:pos="250" w:val="left"/>
        </w:tabs>
        <w:numPr>
          <w:ilvl w:val="0"/>
          <w:numId w:val="6"/>
        </w:numPr>
        <w:rPr>
          <w:rFonts w:ascii="Arial" w:cs="Arial" w:eastAsia="Arial" w:hAnsi="Arial"/>
          <w:sz w:val="15"/>
          <w:szCs w:val="15"/>
          <w:color w:val="auto"/>
        </w:rPr>
      </w:pPr>
      <w:r>
        <w:rPr>
          <w:rFonts w:ascii="Arial" w:cs="Arial" w:eastAsia="Arial" w:hAnsi="Arial"/>
          <w:sz w:val="18"/>
          <w:szCs w:val="18"/>
          <w:color w:val="auto"/>
        </w:rPr>
        <w:t>Online sales associated with each class of retailer are included within their respective total.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adopt any new Accounting Standard Updates during the quarter ended September 30,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000" w:type="dxa"/>
            <w:vAlign w:val="bottom"/>
          </w:tcPr>
          <w:p>
            <w:pPr>
              <w:spacing w:after="0"/>
              <w:rPr>
                <w:sz w:val="20"/>
                <w:szCs w:val="20"/>
                <w:color w:val="auto"/>
              </w:rPr>
            </w:pPr>
            <w:r>
              <w:rPr>
                <w:rFonts w:ascii="Arial" w:cs="Arial" w:eastAsia="Arial" w:hAnsi="Arial"/>
                <w:sz w:val="18"/>
                <w:szCs w:val="18"/>
                <w:b w:val="1"/>
                <w:bCs w:val="1"/>
                <w:color w:val="auto"/>
              </w:rPr>
              <w:t>Note 2 – Inventories, net: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 and Work in Process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18,428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Packaging Components Material</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5,898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34,737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59,063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58,433</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Obsolete Inventory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59,063</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58,290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Note 3 – Property, Plant and Equipment, net:</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Refrigeration Equipment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155,402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137,875</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224,726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199,504</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 Land, and Improvements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534,822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458,800</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14,741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14,040</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2"/>
        </w:trPr>
        <w:tc>
          <w:tcPr>
            <w:tcW w:w="800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150,696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134,338</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Finance Lease</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29,187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1,110,893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945,877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(145,291)</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924,720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800,586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Depreciation and amortization expense related to property, plant and equipment for the three and nine months ended September 30, 2023 totaled $16,399 and $45,139, respectively, of which $12,495 and $33,834, respectively, was recorded to cost of goods sold with the remainder of depreciation expense recorded to selling, general and administrative expense.</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Depreciation expense related to property, plant and equipment for the three and nine months ended September 30, 2022 totaled $8,485 and $24,264, respectively, of which $5,159 and $14,208, respectively, was recorded to cost of goods sold with the remainder of depreciation expense recorded to selling, general and administrative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900" w:type="dxa"/>
            <w:vAlign w:val="bottom"/>
          </w:tcPr>
          <w:p>
            <w:pPr>
              <w:spacing w:after="0"/>
              <w:rPr>
                <w:sz w:val="20"/>
                <w:szCs w:val="20"/>
                <w:color w:val="auto"/>
              </w:rPr>
            </w:pPr>
            <w:r>
              <w:rPr>
                <w:rFonts w:ascii="Arial" w:cs="Arial" w:eastAsia="Arial" w:hAnsi="Arial"/>
                <w:sz w:val="18"/>
                <w:szCs w:val="18"/>
                <w:b w:val="1"/>
                <w:bCs w:val="1"/>
                <w:color w:val="auto"/>
              </w:rPr>
              <w:t>Note 4 – Accrued Expenses: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4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49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Compensation and Employee Related Costs</w:t>
            </w:r>
          </w:p>
        </w:tc>
        <w:tc>
          <w:tcPr>
            <w:tcW w:w="3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12,945</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Accrued Construction Costs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Chiller Cost</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Accrued Customer Consideration</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Freight</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Accrued Production Expenses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Corporate and Marketing Expenses</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3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line="182" w:lineRule="exact"/>
              <w:rPr>
                <w:sz w:val="20"/>
                <w:szCs w:val="20"/>
                <w:color w:val="auto"/>
              </w:rPr>
            </w:pPr>
            <w:r>
              <w:rPr>
                <w:rFonts w:ascii="Arial" w:cs="Arial" w:eastAsia="Arial" w:hAnsi="Arial"/>
                <w:sz w:val="18"/>
                <w:szCs w:val="18"/>
                <w:color w:val="auto"/>
              </w:rPr>
              <w:t>Accrued Expenses</w:t>
            </w:r>
          </w:p>
        </w:tc>
        <w:tc>
          <w:tcPr>
            <w:tcW w:w="32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39,377</w:t>
            </w:r>
          </w:p>
        </w:tc>
        <w:tc>
          <w:tcPr>
            <w:tcW w:w="2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33,016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100" w:type="dxa"/>
            <w:vAlign w:val="bottom"/>
            <w:vMerge w:val="restart"/>
          </w:tcPr>
          <w:p>
            <w:pPr>
              <w:jc w:val="right"/>
              <w:ind w:right="219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9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12" w:name="page13"/>
    <w:bookmarkEnd w:id="12"/>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19, 2021, the Company entered into the Sixth Amended and Restated Loan and Security Agreement ("Credit Agreement"), which amended and restated in full the Company's Fifth Amended and Restated Loan and Security Agreement, dated as of April 17, 2020. The Credit Agreement provided for a $350,000 senior secured credit facility (as amended the "Credit Facility"), encompassing a $300,000 delayed draw term loan facility (the "Delayed Draw Facility") and a $50,000 revolving loan facility (the "Revolving Loan Facility"), which replaced the Company's prior $130,000 delayed draw term loan facility and $35,000 revolving loan facility. The Company incurred an additional $3,263 of fees associated with the debt modification, of which $2,797 of the fees were related to the Delayed Draw Term Loan ("DDTL") (as defined below) with the remaining balance relating to the Revolving Loan Facility (as defined below). The Company’s policy is to record the debt issuance cost related to the Delayed Draw Term Loan, net of debt, for the portion of the Delayed Draw Term Loan that is outstanding, with the remaining amount recorded within assets.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Credit Facility had an original maturity date of February 19, 2026 and borrowings thereunder bore interest at variable rates depending on the Company's election, either at a base rate or at the adjusted term SOFR (which rate was to be calculated based upon a one-month tenor in effect on such date and was to be determined on a daily basis), in each case, plus an applicable margin. Subject to the Company's leverage ratio, the applicable margin varies between 0.75% and 2.25% for base rate loans and 1.75% and 3.25% for SOFR loans. The Company had the option to borrow term loans under the Delayed Draw Facility ("Delayed Draw Term Loans") until August 19, 2023, subject to certain conditions.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Borrowings under the Credit Facility were secured by substantially all of the Company's and certain of its subsidiaries' assets. The Credit Agreement required compliance with various covenants customary for agreements of this type, including financial covenants and negative covenants that limit, among other things, the Company's ability to incur additional debt, create or incur liens, engage in mergers or consolidations, sell, transfer or otherwise dispose of assets, make voluntary prepayments to subordinated debt, permit a change of control, pay dividends or distributions, make investments, and enter into certain transaction with affiliates. The Credit Agreement also included events of default customary for agreements of this type. The Credit Facility included a quarterly commitment fee on any unused amounts at a per annum rate between 0.30% to 0.50% depending on the aggregate principal outstanding.</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April 29, 2022, the Company entered into the First Amendment to the Credit Agreement, which amendment, among other things, (i) made amendments to allow for the Company's projected capital expenditures without either triggering mandatory prepayment obligations or violating the covenant and (ii) replaced the LIBOR interest rate for U.S. dollar loans with a term Secured Overnight Financing Rate ("Term SOFR").</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 March 13, 2023, the Company notified City National Bank, of Freshpet's intent to terminate the Credit Agreement, with such termination to become effective as of March 15, 2023 (the "Termination Date"), in connection with the offering of the Convertible Notes (as defined below).</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March 13, 2023, the Termination Date and December 31, 2022, the Company had no borrowings outstanding under the Credit Facility. There was $0 and $922 of accrued interest on the credit facilities as of September 30, 2023 and December 31, 2022, respectively. Interest expense and fees totaled $ 0 and $ 2,785 for the three and nine months ended September 30, 2023, respectively. Interest expense and fees totaled $1,817 and $4,060 for the three and nine months ended September 30, 2022, respectively. Interest expense for the nine months ended September 30, 2023, included debt issuance costs written off in conjunction with the termination of the Credit Facility of $2,478 in March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Senior Notes: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March 2023, we issued $402,500 aggregate principal amount of 3.0% convertible senior notes due 2028 (the “Convertible Notes”). The Convertible Notes were issued in a private offering to qualified institutional buyers pursuant to Rule 144A under the Securities Act of 1933, as amended (the “Securities Act”). The net proceeds from the sale of the Convertible Notes were approximately $391,492 after deducting offering and issuance costs related to the Convertible Notes and before the 2023 Capped Call transactions, as described below.</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Convertible Notes are our senior, unsecured obligations and accrue interest at a rate of 3.0% per annum, payable semi-annually in arrears on April 1 and October 1 of each year, beginning on October 1, 2023. The Convertible Notes will mature on April 1, 2028 unless earlier converted, redeemed or repurchased by us. Before January 3, 2028, noteholders will have the right to convert their Convertible Notes only under the following circumstances: (1) during any calendar quarter commencing after the calendar quarter ended on June 30, 2023 (and only during such calendar quarter), if the last reported sale price of our common stock, par value $0.001 per share (the "common stock"), for each of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consecutive business day period immediately after any 10 consecutive trading day period (the "measurement period") in which the trading price per $1,000 principal amount of notes, as determined following a request by a holder or holders of the Convertible Notes in the manner described in indenture pursuant to which the Convertible Notes were issued and are governed (the “Indenture”), for each trading day of the measurement period, was less than 98% of the product of the last reported sale price of our common stock and the conversion rate on each such trading day; (3) if we call any or all of the Convertible Notes for redemption, but only with respect to the convertible notes called (or deemed called) for redemption; or (4) upon the occurrence of specified corporate events (e.g., a fundamental change or the making of certain distributions). On or after January 3, 2028, until the close of business on the second scheduled trading day immediately preceding the maturity date, a holder may convert its Convertible Notes at any time, regardless of the foregoing circumstances.</w:t>
      </w: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settle conversions by paying or delivering, as applicable, cash, shares of our common stock or a combination of cash and shares of our common stock, at our election. The initial conversion rate for the Convertible Notes is 14.3516 shares of common stock per $1,000 principal amount of Notes, which represents an initial conversion price of approximately $69.68 per share of common stock. The conversion rate and conversion price are subject to customary adjustments upon the occurrence of certain events. In addition, in connection with a make-whole fundamental change (as defined in the Indenture), which shall include among other things the Company's delivery of a notice of redemption, the Company will, in certain circumstances, increase the conversion rate for a holder who elects to convert its notes in connection with such a corporate event or redemption, as the case may be.</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not redeem the Convertible Notes prior to April 3, 2026. We may redeem for cash all or any portion of the Convertible Notes, at our option, on or after April 3, 2026 and on or before the 40</w:t>
      </w:r>
      <w:r>
        <w:rPr>
          <w:rFonts w:ascii="Arial" w:cs="Arial" w:eastAsia="Arial" w:hAnsi="Arial"/>
          <w:sz w:val="14"/>
          <w:szCs w:val="14"/>
          <w:color w:val="auto"/>
        </w:rPr>
        <w:t>th</w:t>
      </w:r>
      <w:r>
        <w:rPr>
          <w:rFonts w:ascii="Arial" w:cs="Arial" w:eastAsia="Arial" w:hAnsi="Arial"/>
          <w:sz w:val="18"/>
          <w:szCs w:val="18"/>
          <w:color w:val="auto"/>
        </w:rPr>
        <w:t xml:space="preserve"> scheduled trading day immediately preceding the maturity date, if the last reported sale price of our common stock has been at least 130% of the conversion price then in effect for each of at least 20 trading days (whether or not consecutive) during the 30 consecutive trading day period (including the last trading day of such period) ending on, and including, the trading day immediately preceding the date on which we send the notice of redemption, at a redemption price equal to 100% of the principal amount of the Convertible Notes to be redeemed, plus accrued and unpaid interest to, but excluding, the redemption date. However, we may not redeem less than all of the outstanding Convertible Notes unless at least $100 million aggregate principal amount of Convertible Notes are outstanding and not called for redemption as of the time we send the related redemption notice.</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the occurrence of a fundamental change (as defined in the Indenture), holders may require the Company to repurchase for cash all or any portion of their Convertible Notes at a fundamental change repurchase price equal to 100% of the principal amount of the Convertible Notes to be repurchased, plus accrued and unpaid additional interest, if any, to, but excluding, the fundamental change repurchase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effective interest rate for the Convertible Notes is 3.59%. Transaction costs of $11,008 attributable to the issuance of the Convertible Notes were recorded as a direct deduction from the related debt liability in the Consolidated Balance Sheet and are amortized to interest expense over the term of the Convertible Notes using the effective interest method.</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measures the fair value of its Convertible Notes for disclosure purposes. The fair value is based on observable market prices for this debt, which is traded in less active markets and is therefore classified as a Level 2 fair value measurement. The following table discloses the carrying value and fair value of the Company's Convertible Notes as of September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324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 2023</w:t>
            </w:r>
          </w:p>
        </w:tc>
      </w:tr>
      <w:tr>
        <w:trPr>
          <w:trHeight w:val="173"/>
        </w:trPr>
        <w:tc>
          <w:tcPr>
            <w:tcW w:w="8000" w:type="dxa"/>
            <w:vAlign w:val="bottom"/>
          </w:tcPr>
          <w:p>
            <w:pPr>
              <w:spacing w:after="0"/>
              <w:rPr>
                <w:sz w:val="15"/>
                <w:szCs w:val="15"/>
                <w:color w:val="auto"/>
              </w:rPr>
            </w:pPr>
          </w:p>
        </w:tc>
        <w:tc>
          <w:tcPr>
            <w:tcW w:w="1680" w:type="dxa"/>
            <w:vAlign w:val="bottom"/>
            <w:tcBorders>
              <w:top w:val="single" w:sz="8" w:color="auto"/>
            </w:tcBorders>
            <w:gridSpan w:val="2"/>
          </w:tcPr>
          <w:p>
            <w:pPr>
              <w:ind w:left="100"/>
              <w:spacing w:after="0" w:line="173" w:lineRule="exact"/>
              <w:rPr>
                <w:sz w:val="20"/>
                <w:szCs w:val="20"/>
                <w:color w:val="auto"/>
              </w:rPr>
            </w:pPr>
            <w:r>
              <w:rPr>
                <w:rFonts w:ascii="Arial" w:cs="Arial" w:eastAsia="Arial" w:hAnsi="Arial"/>
                <w:sz w:val="18"/>
                <w:szCs w:val="18"/>
                <w:b w:val="1"/>
                <w:bCs w:val="1"/>
                <w:color w:val="auto"/>
              </w:rPr>
              <w:t>Carrying Value</w:t>
            </w: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5"/>
        </w:trPr>
        <w:tc>
          <w:tcPr>
            <w:tcW w:w="8000" w:type="dxa"/>
            <w:vAlign w:val="bottom"/>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19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3.00% Convertible Senior Notes Maturing April 1, 2028</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392,562</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473,139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392,562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473,139</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540" w:hanging="208"/>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8"/>
          <w:szCs w:val="18"/>
          <w:color w:val="auto"/>
        </w:rPr>
        <w:t>The carrying amounts presented are net of unamortized debt issuance costs of $9,938 as of September 30, 2023.</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Lender fees that were paid upfront to the lenders and debt issuance fees paid to third parties are recorded as a discount to the carrying amount of debt and are being amortized to interest expense over the life of the debt. The total interest expense for the three and nine months ended September 30, 2023, recognized related to the Convertible Notes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Three Months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Nine Months</w:t>
            </w:r>
          </w:p>
        </w:tc>
      </w:tr>
      <w:tr>
        <w:trPr>
          <w:trHeight w:val="225"/>
        </w:trPr>
        <w:tc>
          <w:tcPr>
            <w:tcW w:w="800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Ended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Ended</w:t>
            </w:r>
          </w:p>
        </w:tc>
      </w:tr>
      <w:tr>
        <w:trPr>
          <w:trHeight w:val="196"/>
        </w:trPr>
        <w:tc>
          <w:tcPr>
            <w:tcW w:w="80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September</w:t>
            </w:r>
          </w:p>
        </w:tc>
        <w:tc>
          <w:tcPr>
            <w:tcW w:w="200" w:type="dxa"/>
            <w:vAlign w:val="bottom"/>
            <w:tcBorders>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w w:val="99"/>
              </w:rPr>
              <w:t>30, 2023</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Contractual interest expense</w:t>
            </w:r>
          </w:p>
        </w:tc>
        <w:tc>
          <w:tcPr>
            <w:tcW w:w="16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3,019</w:t>
            </w: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6,406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Amortization of issuance costs</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507</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3,526</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September 30, 2023, the interest expense incurred to date of $ 6,406 was paid in full, with $0 of accrued interest expense as of the quarter end. Of this amount, approximately $333 and $514 of interest expense was capitalized to construction in progress, as of the three and nine months ended September 30, 2023, respectively, as the proceeds from the sale of the Convertible Notes are being used to fund construction on the Company's manufacturing facility expansion in Ennis, Texas. As of September 30, 2023, $136 of the $514 was reclassified from construction in progress to assets placed in service.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Purchase of Capped Call Option:</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pricing of the Convertible Notes issued in March 2023, we used $66,211 of the net proceeds from the Convertible Notes to enter into privately negotiated capped call transactions (collectively, the “Capped Call Transactions”) with certain financial institutions.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Capped Call Transactions are generally expected to reduce potential dilution to holders of our common stock upon any conversion of the Convertible Notes and/or offset any cash payments we are required to make in excess of the principal amount of the Convertible Notes upon conversion of the Convertible Notes in the event that the market price per share of our common stock is greater than the strike price of the Capped Call Transactions, with such reduction and/or offset subject to a cap.</w:t>
      </w:r>
    </w:p>
    <w:p>
      <w:pPr>
        <w:spacing w:after="0" w:line="174"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 Capped Call Transactions have an initial cap price of approximately $ 120.23 per share, which represents a premium of 120% over the last reported sale price of our common stock of $54.65 per share on March 15, 2023, and is subject to certain adjustments under the terms of the Capped Call Transactions. Collectively, the Capped Call Transactions cover, initially, the number of shares of our common stock underlying the Convertible Notes, subject to anti-dilution adjustments substantially similar to those applicable to the Convertible Notes.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Capped Call Transactions are accounted for as freestanding derivatives and recorded at the initial fair value in additional paid-in-capital in the Consolidated Balance Sheet with no recorded subsequent change to fair value as long as they meet the criteria for equity classification. As of September 30, 2023, the instrument continued to qualify for equity classification.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various noncancelable operating lease agreements for office and warehouse space with original remaining lease terms of two years to nine years, some of which include an option to extend the lease term for up to four years. Because the Company is not reasonably certain to exercise the renewal options on these lease arrangements, the options are not considered in determining the lease term and associated potential option payments are excluded from lease payments. The Company’s leases generally do not include termination options for either party to the lease or restrictive financial or other covenants.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July 2023, we also entered into a finance lease agreement for manufacturing equipment with an initial term of ten years, which includes an option to extend the lease term for up to ten years, which the Company is not reasonably certain to exercise. The agreement did not include termination options for either party to the lease or restrictive financial or other covenants. In connection with the manufacturing equipment lease, which is a new asset class, we elected the practical expedient to combine lease and non-lease components to determine the right of use asset and lease liability.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finance lease, the right of use asset is subsequently amortized using the straight-line method from the lease commencement date to the earlier of the end of the useful life of the underlying asset or the end of the lease term. Amortization of the right of use asset is recognized and presented separately from interest expense on the lease liability.</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right of use asset for the finance lease is periodically reviewed for impairment losses. The Company uses the long-lived assets impairment guidance in ASC Subtopic 360-10, Property, Plant, and Equipment – Overall, to determine whether a right of use asset is impaired, and if so, the amount of the impairment loss to recognize. No such loss was recognized as of September 30, 2023.</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right of use asset.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(in years) and discount rate related to operating and finance leases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5"/>
                <w:szCs w:val="15"/>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Finance Lease</w:t>
            </w:r>
          </w:p>
        </w:tc>
        <w:tc>
          <w:tcPr>
            <w:tcW w:w="140" w:type="dxa"/>
            <w:vAlign w:val="bottom"/>
          </w:tcPr>
          <w:p>
            <w:pPr>
              <w:spacing w:after="0"/>
              <w:rPr>
                <w:sz w:val="15"/>
                <w:szCs w:val="15"/>
                <w:color w:val="auto"/>
              </w:rPr>
            </w:pPr>
          </w:p>
        </w:tc>
      </w:tr>
      <w:tr>
        <w:trPr>
          <w:trHeight w:val="155"/>
        </w:trPr>
        <w:tc>
          <w:tcPr>
            <w:tcW w:w="79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Weighted-average remaining lease term</w:t>
            </w:r>
          </w:p>
        </w:tc>
        <w:tc>
          <w:tcPr>
            <w:tcW w:w="1680" w:type="dxa"/>
            <w:vAlign w:val="bottom"/>
            <w:gridSpan w:val="2"/>
            <w:shd w:val="clear" w:color="auto" w:fill="CCEEFF"/>
          </w:tcPr>
          <w:p>
            <w:pPr>
              <w:ind w:left="1160"/>
              <w:spacing w:after="0" w:line="155" w:lineRule="exact"/>
              <w:rPr>
                <w:sz w:val="20"/>
                <w:szCs w:val="20"/>
                <w:color w:val="auto"/>
              </w:rPr>
            </w:pPr>
            <w:r>
              <w:rPr>
                <w:rFonts w:ascii="Arial" w:cs="Arial" w:eastAsia="Arial" w:hAnsi="Arial"/>
                <w:sz w:val="14"/>
                <w:szCs w:val="14"/>
                <w:color w:val="auto"/>
              </w:rPr>
              <w:t>3.14</w:t>
            </w:r>
          </w:p>
        </w:tc>
        <w:tc>
          <w:tcPr>
            <w:tcW w:w="15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9.75</w:t>
            </w:r>
          </w:p>
        </w:tc>
      </w:tr>
      <w:tr>
        <w:trPr>
          <w:trHeight w:val="182"/>
        </w:trPr>
        <w:tc>
          <w:tcPr>
            <w:tcW w:w="7980" w:type="dxa"/>
            <w:vAlign w:val="bottom"/>
          </w:tcPr>
          <w:p>
            <w:pPr>
              <w:spacing w:after="0"/>
              <w:rPr>
                <w:sz w:val="20"/>
                <w:szCs w:val="20"/>
                <w:color w:val="auto"/>
              </w:rPr>
            </w:pPr>
            <w:r>
              <w:rPr>
                <w:rFonts w:ascii="Arial" w:cs="Arial" w:eastAsia="Arial" w:hAnsi="Arial"/>
                <w:sz w:val="14"/>
                <w:szCs w:val="14"/>
                <w:color w:val="auto"/>
              </w:rPr>
              <w:t>Weighted-average discount rate</w:t>
            </w:r>
          </w:p>
        </w:tc>
        <w:tc>
          <w:tcPr>
            <w:tcW w:w="1680" w:type="dxa"/>
            <w:vAlign w:val="bottom"/>
            <w:gridSpan w:val="2"/>
          </w:tcPr>
          <w:p>
            <w:pPr>
              <w:ind w:left="1160"/>
              <w:spacing w:after="0"/>
              <w:rPr>
                <w:sz w:val="20"/>
                <w:szCs w:val="20"/>
                <w:color w:val="auto"/>
              </w:rPr>
            </w:pPr>
            <w:r>
              <w:rPr>
                <w:rFonts w:ascii="Arial" w:cs="Arial" w:eastAsia="Arial" w:hAnsi="Arial"/>
                <w:sz w:val="14"/>
                <w:szCs w:val="14"/>
                <w:color w:val="auto"/>
              </w:rPr>
              <w:t>6.17%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8.6%</w:t>
            </w:r>
          </w:p>
        </w:tc>
      </w:tr>
    </w:tbl>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commencement date to determine the present value of lease payments.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under noncancelable operating leases and finance lease as of September 30, 2023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As of September 30, 2023</w:t>
            </w:r>
          </w:p>
        </w:tc>
      </w:tr>
      <w:tr>
        <w:trPr>
          <w:trHeight w:val="155"/>
        </w:trPr>
        <w:tc>
          <w:tcPr>
            <w:tcW w:w="80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Operating Leases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Finance Lease</w:t>
            </w:r>
          </w:p>
        </w:tc>
        <w:tc>
          <w:tcPr>
            <w:tcW w:w="100" w:type="dxa"/>
            <w:vAlign w:val="bottom"/>
          </w:tcPr>
          <w:p>
            <w:pPr>
              <w:spacing w:after="0"/>
              <w:rPr>
                <w:sz w:val="13"/>
                <w:szCs w:val="13"/>
                <w:color w:val="auto"/>
              </w:rPr>
            </w:pPr>
          </w:p>
        </w:tc>
      </w:tr>
      <w:tr>
        <w:trPr>
          <w:trHeight w:val="155"/>
        </w:trPr>
        <w:tc>
          <w:tcPr>
            <w:tcW w:w="80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2023 (a)</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1,172</w:t>
            </w: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4,336</w:t>
            </w:r>
          </w:p>
        </w:tc>
      </w:tr>
      <w:tr>
        <w:trPr>
          <w:trHeight w:val="162"/>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4,336</w:t>
            </w: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4,336</w:t>
            </w:r>
          </w:p>
        </w:tc>
      </w:tr>
      <w:tr>
        <w:trPr>
          <w:trHeight w:val="162"/>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2027 and beyond</w:t>
            </w: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5"/>
        </w:trPr>
        <w:tc>
          <w:tcPr>
            <w:tcW w:w="8000" w:type="dxa"/>
            <w:vAlign w:val="bottom"/>
          </w:tcPr>
          <w:p>
            <w:pPr>
              <w:spacing w:after="0" w:line="155" w:lineRule="exact"/>
              <w:rPr>
                <w:sz w:val="20"/>
                <w:szCs w:val="20"/>
                <w:color w:val="auto"/>
              </w:rPr>
            </w:pPr>
            <w:r>
              <w:rPr>
                <w:rFonts w:ascii="Arial" w:cs="Arial" w:eastAsia="Arial" w:hAnsi="Arial"/>
                <w:sz w:val="14"/>
                <w:szCs w:val="14"/>
                <w:color w:val="auto"/>
              </w:rPr>
              <w:t>Total lease payments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4,750</w:t>
            </w:r>
          </w:p>
        </w:tc>
        <w:tc>
          <w:tcPr>
            <w:tcW w:w="120" w:type="dxa"/>
            <w:vAlign w:val="bottom"/>
          </w:tcPr>
          <w:p>
            <w:pPr>
              <w:spacing w:after="0"/>
              <w:rPr>
                <w:sz w:val="13"/>
                <w:szCs w:val="13"/>
                <w:color w:val="auto"/>
              </w:rPr>
            </w:pPr>
          </w:p>
        </w:tc>
        <w:tc>
          <w:tcPr>
            <w:tcW w:w="24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42,361</w:t>
            </w:r>
          </w:p>
        </w:tc>
      </w:tr>
      <w:tr>
        <w:trPr>
          <w:trHeight w:val="162"/>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Less: Imputed interest</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(13,722)</w:t>
            </w:r>
          </w:p>
        </w:tc>
      </w:tr>
      <w:tr>
        <w:trPr>
          <w:trHeight w:val="155"/>
        </w:trPr>
        <w:tc>
          <w:tcPr>
            <w:tcW w:w="8000" w:type="dxa"/>
            <w:vAlign w:val="bottom"/>
            <w:tcBorders>
              <w:top w:val="single" w:sz="8" w:color="CCEEFF"/>
              <w:bottom w:val="single" w:sz="8" w:color="CCEEFF"/>
            </w:tcBorders>
          </w:tcPr>
          <w:p>
            <w:pPr>
              <w:spacing w:after="0" w:line="155" w:lineRule="exact"/>
              <w:rPr>
                <w:sz w:val="20"/>
                <w:szCs w:val="20"/>
                <w:color w:val="auto"/>
              </w:rPr>
            </w:pPr>
            <w:r>
              <w:rPr>
                <w:rFonts w:ascii="Arial" w:cs="Arial" w:eastAsia="Arial" w:hAnsi="Arial"/>
                <w:sz w:val="14"/>
                <w:szCs w:val="14"/>
                <w:color w:val="auto"/>
              </w:rPr>
              <w:t>Present value of lease liabilities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4,291</w:t>
            </w: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28,639</w:t>
            </w:r>
          </w:p>
        </w:tc>
        <w:tc>
          <w:tcPr>
            <w:tcW w:w="100" w:type="dxa"/>
            <w:vAlign w:val="bottom"/>
            <w:tcBorders>
              <w:top w:val="single" w:sz="8" w:color="CCEEFF"/>
              <w:bottom w:val="single" w:sz="8" w:color="CCEEFF"/>
            </w:tcBorders>
          </w:tcPr>
          <w:p>
            <w:pPr>
              <w:spacing w:after="0"/>
              <w:rPr>
                <w:sz w:val="13"/>
                <w:szCs w:val="13"/>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Excluding the nine months ended September 30, 2023.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6" w:name="page17"/>
    <w:bookmarkEnd w:id="16"/>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lease costs for the three and nine months ended September 30, 2023 and 2022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36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Statement of Operations and Comprehensive</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3600" w:type="dxa"/>
            <w:vAlign w:val="bottom"/>
            <w:gridSpan w:val="3"/>
          </w:tcPr>
          <w:p>
            <w:pPr>
              <w:ind w:left="340"/>
              <w:spacing w:after="0"/>
              <w:rPr>
                <w:sz w:val="20"/>
                <w:szCs w:val="20"/>
                <w:color w:val="auto"/>
              </w:rPr>
            </w:pPr>
            <w:r>
              <w:rPr>
                <w:rFonts w:ascii="Arial" w:cs="Arial" w:eastAsia="Arial" w:hAnsi="Arial"/>
                <w:sz w:val="14"/>
                <w:szCs w:val="14"/>
                <w:b w:val="1"/>
                <w:bCs w:val="1"/>
                <w:color w:val="auto"/>
              </w:rPr>
              <w:t>Loss Location</w:t>
            </w: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Lease:</w:t>
            </w:r>
          </w:p>
        </w:tc>
        <w:tc>
          <w:tcPr>
            <w:tcW w:w="340" w:type="dxa"/>
            <w:vAlign w:val="bottom"/>
            <w:shd w:val="clear" w:color="auto" w:fill="CCEEFF"/>
          </w:tcPr>
          <w:p>
            <w:pPr>
              <w:spacing w:after="0"/>
              <w:rPr>
                <w:sz w:val="13"/>
                <w:szCs w:val="13"/>
                <w:color w:val="auto"/>
              </w:rPr>
            </w:pPr>
          </w:p>
        </w:tc>
        <w:tc>
          <w:tcPr>
            <w:tcW w:w="31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60" w:type="dxa"/>
            <w:vAlign w:val="bottom"/>
          </w:tcPr>
          <w:p>
            <w:pPr>
              <w:spacing w:after="0"/>
              <w:rPr>
                <w:sz w:val="13"/>
                <w:szCs w:val="13"/>
                <w:color w:val="auto"/>
              </w:rPr>
            </w:pPr>
          </w:p>
        </w:tc>
        <w:tc>
          <w:tcPr>
            <w:tcW w:w="3600" w:type="dxa"/>
            <w:vAlign w:val="bottom"/>
            <w:gridSpan w:val="3"/>
          </w:tcPr>
          <w:p>
            <w:pPr>
              <w:ind w:left="340"/>
              <w:spacing w:after="0" w:line="157" w:lineRule="exact"/>
              <w:rPr>
                <w:sz w:val="20"/>
                <w:szCs w:val="20"/>
                <w:color w:val="auto"/>
              </w:rPr>
            </w:pPr>
            <w:r>
              <w:rPr>
                <w:rFonts w:ascii="Arial" w:cs="Arial" w:eastAsia="Arial" w:hAnsi="Arial"/>
                <w:sz w:val="14"/>
                <w:szCs w:val="14"/>
                <w:color w:val="auto"/>
              </w:rPr>
              <w:t>Cost of goods sold and selling, general and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color w:val="auto"/>
              </w:rPr>
              <w:t>Lease cost</w:t>
            </w:r>
          </w:p>
        </w:tc>
        <w:tc>
          <w:tcPr>
            <w:tcW w:w="3600" w:type="dxa"/>
            <w:vAlign w:val="bottom"/>
            <w:gridSpan w:val="3"/>
          </w:tcPr>
          <w:p>
            <w:pPr>
              <w:ind w:left="340"/>
              <w:spacing w:after="0"/>
              <w:rPr>
                <w:sz w:val="20"/>
                <w:szCs w:val="20"/>
                <w:color w:val="auto"/>
              </w:rPr>
            </w:pPr>
            <w:r>
              <w:rPr>
                <w:rFonts w:ascii="Arial" w:cs="Arial" w:eastAsia="Arial" w:hAnsi="Arial"/>
                <w:sz w:val="14"/>
                <w:szCs w:val="14"/>
                <w:color w:val="auto"/>
              </w:rPr>
              <w:t>administrative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438</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438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1,314</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b w:val="1"/>
                <w:bCs w:val="1"/>
                <w:color w:val="auto"/>
              </w:rPr>
              <w:t>Finance Lease:</w:t>
            </w: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right of use asset</w:t>
            </w: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Cost of goods sold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730</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730</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Interest on lease liabilities</w:t>
            </w:r>
          </w:p>
        </w:tc>
        <w:tc>
          <w:tcPr>
            <w:tcW w:w="3600" w:type="dxa"/>
            <w:vAlign w:val="bottom"/>
            <w:gridSpan w:val="3"/>
          </w:tcPr>
          <w:p>
            <w:pPr>
              <w:ind w:left="340"/>
              <w:spacing w:after="0"/>
              <w:rPr>
                <w:sz w:val="20"/>
                <w:szCs w:val="20"/>
                <w:color w:val="auto"/>
              </w:rPr>
            </w:pPr>
            <w:r>
              <w:rPr>
                <w:rFonts w:ascii="Arial" w:cs="Arial" w:eastAsia="Arial" w:hAnsi="Arial"/>
                <w:sz w:val="14"/>
                <w:szCs w:val="14"/>
                <w:color w:val="auto"/>
              </w:rPr>
              <w:t>Interest Expense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624</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624</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Variable lease cost (a)</w:t>
            </w:r>
          </w:p>
        </w:tc>
        <w:tc>
          <w:tcPr>
            <w:tcW w:w="36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Cost of goods sold (a)</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2,894</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2,894</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40" w:hanging="368"/>
        <w:spacing w:after="0" w:line="273" w:lineRule="auto"/>
        <w:tabs>
          <w:tab w:leader="none" w:pos="740" w:val="left"/>
        </w:tabs>
        <w:numPr>
          <w:ilvl w:val="0"/>
          <w:numId w:val="9"/>
        </w:numPr>
        <w:rPr>
          <w:rFonts w:ascii="Arial" w:cs="Arial" w:eastAsia="Arial" w:hAnsi="Arial"/>
          <w:sz w:val="14"/>
          <w:szCs w:val="14"/>
          <w:color w:val="auto"/>
        </w:rPr>
      </w:pPr>
      <w:r>
        <w:rPr>
          <w:rFonts w:ascii="Arial" w:cs="Arial" w:eastAsia="Arial" w:hAnsi="Arial"/>
          <w:sz w:val="14"/>
          <w:szCs w:val="14"/>
          <w:color w:val="auto"/>
        </w:rPr>
        <w:t>Variable lease cost primarily consists of the procurement and manufacturing costs capitalized to inventory. During the period, $2,894 of variable lease cost were capitalized to inventory and will be captured as part of cost of goods sold as the inventory turns.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as of September 30, 2023 and December 31, 2022 related to leases are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278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15"/>
                <w:szCs w:val="15"/>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56"/>
        </w:trPr>
        <w:tc>
          <w:tcPr>
            <w:tcW w:w="27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40" w:type="dxa"/>
            <w:vAlign w:val="bottom"/>
            <w:tcBorders>
              <w:top w:val="single" w:sz="8" w:color="auto"/>
            </w:tcBorders>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Operating leases</w:t>
            </w:r>
          </w:p>
        </w:tc>
        <w:tc>
          <w:tcPr>
            <w:tcW w:w="5240" w:type="dxa"/>
            <w:vAlign w:val="bottom"/>
            <w:gridSpan w:val="2"/>
          </w:tcPr>
          <w:p>
            <w:pPr>
              <w:spacing w:after="0"/>
              <w:rPr>
                <w:sz w:val="20"/>
                <w:szCs w:val="20"/>
                <w:color w:val="auto"/>
              </w:rPr>
            </w:pPr>
            <w:r>
              <w:rPr>
                <w:rFonts w:ascii="Arial" w:cs="Arial" w:eastAsia="Arial" w:hAnsi="Arial"/>
                <w:sz w:val="14"/>
                <w:szCs w:val="14"/>
                <w:color w:val="auto"/>
              </w:rPr>
              <w:t>Operating lease right of use assets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3,990</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5,165</w:t>
            </w:r>
          </w:p>
        </w:tc>
      </w:tr>
      <w:tr>
        <w:trPr>
          <w:trHeight w:val="16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Finance lease, net</w:t>
            </w: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28,457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6"/>
        </w:trPr>
        <w:tc>
          <w:tcPr>
            <w:tcW w:w="2780" w:type="dxa"/>
            <w:vAlign w:val="bottom"/>
            <w:tcBorders>
              <w:top w:val="single" w:sz="8" w:color="CCEEFF"/>
              <w:bottom w:val="single" w:sz="8" w:color="CCEEFF"/>
            </w:tcBorders>
          </w:tcPr>
          <w:p>
            <w:pPr>
              <w:spacing w:after="0" w:line="155" w:lineRule="exact"/>
              <w:rPr>
                <w:sz w:val="20"/>
                <w:szCs w:val="20"/>
                <w:color w:val="auto"/>
              </w:rPr>
            </w:pPr>
            <w:r>
              <w:rPr>
                <w:rFonts w:ascii="Arial" w:cs="Arial" w:eastAsia="Arial" w:hAnsi="Arial"/>
                <w:sz w:val="14"/>
                <w:szCs w:val="14"/>
                <w:color w:val="auto"/>
              </w:rPr>
              <w:t>Total lease assets</w:t>
            </w:r>
          </w:p>
        </w:tc>
        <w:tc>
          <w:tcPr>
            <w:tcW w:w="1640" w:type="dxa"/>
            <w:vAlign w:val="bottom"/>
            <w:tcBorders>
              <w:top w:val="single" w:sz="8" w:color="CCEEFF"/>
            </w:tcBorders>
          </w:tcPr>
          <w:p>
            <w:pPr>
              <w:spacing w:after="0"/>
              <w:rPr>
                <w:sz w:val="13"/>
                <w:szCs w:val="13"/>
                <w:color w:val="auto"/>
              </w:rPr>
            </w:pPr>
          </w:p>
        </w:tc>
        <w:tc>
          <w:tcPr>
            <w:tcW w:w="3600" w:type="dxa"/>
            <w:vAlign w:val="bottom"/>
            <w:tcBorders>
              <w:top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32,447</w:t>
            </w:r>
          </w:p>
        </w:tc>
        <w:tc>
          <w:tcPr>
            <w:tcW w:w="2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CCEEFF"/>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5,165</w:t>
            </w:r>
          </w:p>
        </w:tc>
        <w:tc>
          <w:tcPr>
            <w:tcW w:w="100" w:type="dxa"/>
            <w:vAlign w:val="bottom"/>
            <w:tcBorders>
              <w:top w:val="single" w:sz="8" w:color="CCEEFF"/>
              <w:bottom w:val="single" w:sz="8" w:color="CCEEFF"/>
            </w:tcBorders>
          </w:tcPr>
          <w:p>
            <w:pPr>
              <w:spacing w:after="0"/>
              <w:rPr>
                <w:sz w:val="13"/>
                <w:szCs w:val="13"/>
                <w:color w:val="auto"/>
              </w:rPr>
            </w:pPr>
          </w:p>
        </w:tc>
      </w:tr>
      <w:tr>
        <w:trPr>
          <w:trHeight w:val="20"/>
        </w:trPr>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Current:</w:t>
            </w:r>
          </w:p>
        </w:tc>
        <w:tc>
          <w:tcPr>
            <w:tcW w:w="1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operating lease liabilities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1,445</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1,510</w:t>
            </w: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Finance lease liabilities</w:t>
            </w:r>
          </w:p>
        </w:tc>
        <w:tc>
          <w:tcPr>
            <w:tcW w:w="5240" w:type="dxa"/>
            <w:vAlign w:val="bottom"/>
            <w:gridSpan w:val="2"/>
          </w:tcPr>
          <w:p>
            <w:pPr>
              <w:spacing w:after="0"/>
              <w:rPr>
                <w:sz w:val="20"/>
                <w:szCs w:val="20"/>
                <w:color w:val="auto"/>
              </w:rPr>
            </w:pPr>
            <w:r>
              <w:rPr>
                <w:rFonts w:ascii="Arial" w:cs="Arial" w:eastAsia="Arial" w:hAnsi="Arial"/>
                <w:sz w:val="14"/>
                <w:szCs w:val="14"/>
                <w:color w:val="auto"/>
              </w:rPr>
              <w:t>Current finance lease liabilities</w:t>
            </w:r>
          </w:p>
        </w:tc>
        <w:tc>
          <w:tcPr>
            <w:tcW w:w="3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2,043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Long-term:</w:t>
            </w:r>
          </w:p>
        </w:tc>
        <w:tc>
          <w:tcPr>
            <w:tcW w:w="164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5240" w:type="dxa"/>
            <w:vAlign w:val="bottom"/>
            <w:gridSpan w:val="2"/>
          </w:tcPr>
          <w:p>
            <w:pPr>
              <w:spacing w:after="0"/>
              <w:rPr>
                <w:sz w:val="20"/>
                <w:szCs w:val="20"/>
                <w:color w:val="auto"/>
              </w:rPr>
            </w:pPr>
            <w:r>
              <w:rPr>
                <w:rFonts w:ascii="Arial" w:cs="Arial" w:eastAsia="Arial" w:hAnsi="Arial"/>
                <w:sz w:val="14"/>
                <w:szCs w:val="14"/>
                <w:color w:val="auto"/>
              </w:rPr>
              <w:t>Long term operating lease liabilities</w:t>
            </w:r>
          </w:p>
        </w:tc>
        <w:tc>
          <w:tcPr>
            <w:tcW w:w="3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2,846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2"/>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Finance lease liabilities</w:t>
            </w: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Long term finance lease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26,596</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5"/>
        </w:trPr>
        <w:tc>
          <w:tcPr>
            <w:tcW w:w="2780" w:type="dxa"/>
            <w:vAlign w:val="bottom"/>
          </w:tcPr>
          <w:p>
            <w:pPr>
              <w:spacing w:after="0" w:line="155" w:lineRule="exact"/>
              <w:rPr>
                <w:sz w:val="20"/>
                <w:szCs w:val="20"/>
                <w:color w:val="auto"/>
              </w:rPr>
            </w:pPr>
            <w:r>
              <w:rPr>
                <w:rFonts w:ascii="Arial" w:cs="Arial" w:eastAsia="Arial" w:hAnsi="Arial"/>
                <w:sz w:val="14"/>
                <w:szCs w:val="14"/>
                <w:color w:val="auto"/>
              </w:rPr>
              <w:t>Total lease liabilities</w:t>
            </w:r>
          </w:p>
        </w:tc>
        <w:tc>
          <w:tcPr>
            <w:tcW w:w="16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32,930</w:t>
            </w:r>
          </w:p>
        </w:tc>
        <w:tc>
          <w:tcPr>
            <w:tcW w:w="18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5,710</w:t>
            </w:r>
          </w:p>
        </w:tc>
        <w:tc>
          <w:tcPr>
            <w:tcW w:w="100" w:type="dxa"/>
            <w:vAlign w:val="bottom"/>
          </w:tcPr>
          <w:p>
            <w:pPr>
              <w:spacing w:after="0"/>
              <w:rPr>
                <w:sz w:val="13"/>
                <w:szCs w:val="13"/>
                <w:color w:val="auto"/>
              </w:rPr>
            </w:pPr>
          </w:p>
        </w:tc>
      </w:tr>
      <w:tr>
        <w:trPr>
          <w:trHeight w:val="20"/>
        </w:trPr>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relating to operating and finance leases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1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980" w:type="dxa"/>
            <w:vAlign w:val="bottom"/>
          </w:tcPr>
          <w:p>
            <w:pPr>
              <w:spacing w:after="0" w:line="155" w:lineRule="exact"/>
              <w:rPr>
                <w:sz w:val="20"/>
                <w:szCs w:val="20"/>
                <w:color w:val="auto"/>
              </w:rPr>
            </w:pPr>
            <w:r>
              <w:rPr>
                <w:rFonts w:ascii="Arial" w:cs="Arial" w:eastAsia="Arial" w:hAnsi="Arial"/>
                <w:sz w:val="14"/>
                <w:szCs w:val="14"/>
                <w:color w:val="auto"/>
              </w:rPr>
              <w:t>Operating cash flow information:</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3"/>
                <w:szCs w:val="13"/>
                <w:color w:val="auto"/>
              </w:rPr>
            </w:pPr>
          </w:p>
        </w:tc>
      </w:tr>
      <w:tr>
        <w:trPr>
          <w:trHeight w:val="155"/>
        </w:trPr>
        <w:tc>
          <w:tcPr>
            <w:tcW w:w="59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paid for amounts included in the measurement of operating lease liabilities</w:t>
            </w:r>
          </w:p>
        </w:tc>
        <w:tc>
          <w:tcPr>
            <w:tcW w:w="740" w:type="dxa"/>
            <w:vAlign w:val="bottom"/>
            <w:shd w:val="clear" w:color="auto" w:fill="CCEEFF"/>
          </w:tcPr>
          <w:p>
            <w:pPr>
              <w:jc w:val="right"/>
              <w:ind w:right="58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453</w:t>
            </w:r>
          </w:p>
        </w:tc>
        <w:tc>
          <w:tcPr>
            <w:tcW w:w="800" w:type="dxa"/>
            <w:vAlign w:val="bottom"/>
            <w:shd w:val="clear" w:color="auto" w:fill="CCEEFF"/>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443</w:t>
            </w: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1,349</w:t>
            </w:r>
          </w:p>
        </w:tc>
        <w:tc>
          <w:tcPr>
            <w:tcW w:w="400" w:type="dxa"/>
            <w:vAlign w:val="bottom"/>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1,321</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finance lease liabilities (i.e. interest)</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624</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624</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Finance cash flow information:</w:t>
            </w: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980" w:type="dxa"/>
            <w:vAlign w:val="bottom"/>
          </w:tcPr>
          <w:p>
            <w:pPr>
              <w:spacing w:after="0" w:line="157" w:lineRule="exact"/>
              <w:rPr>
                <w:sz w:val="20"/>
                <w:szCs w:val="20"/>
                <w:color w:val="auto"/>
              </w:rPr>
            </w:pPr>
            <w:r>
              <w:rPr>
                <w:rFonts w:ascii="Arial" w:cs="Arial" w:eastAsia="Arial" w:hAnsi="Arial"/>
                <w:sz w:val="14"/>
                <w:szCs w:val="14"/>
                <w:color w:val="auto"/>
              </w:rPr>
              <w:t>Cash paid for amounts included in the measurement of finance lease liabilities (i.e. principal</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5980" w:type="dxa"/>
            <w:vAlign w:val="bottom"/>
          </w:tcPr>
          <w:p>
            <w:pPr>
              <w:spacing w:after="0"/>
              <w:rPr>
                <w:sz w:val="20"/>
                <w:szCs w:val="20"/>
                <w:color w:val="auto"/>
              </w:rPr>
            </w:pPr>
            <w:r>
              <w:rPr>
                <w:rFonts w:ascii="Arial" w:cs="Arial" w:eastAsia="Arial" w:hAnsi="Arial"/>
                <w:sz w:val="14"/>
                <w:szCs w:val="14"/>
                <w:color w:val="auto"/>
              </w:rPr>
              <w:t>payment)</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548</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548</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an agreement we entered into with operators of Freshpet Kitchens South during the third quarter of 2022 in exchange for services, we issued our partner warrants to purchase up to an aggregate of 194,000 shares of voting common stock of the Company at a purchase price of $0.01 per share. The Company determined these warrants are accounted for under FASB ASC 718 Stock Compensation. The warrants were recorded as a prepaid expense as the warrants were exercisable at the grant date. The prepaid expense will be amortized within Cost of Goods Sold as services are provided by the supplier. As of September 30, 2023, there were $3,354 of warrants in prepaid expense and $0 of warrants in other assets. As of December 31, 2022, there were $5,750 of warrants in prepaid expense and $1,438 of warrants in other assets.</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During 2022, 194,000 warrants were both issued and exercised, respectively. The grant date fair value of warrants granted during 2022 was $50.32 per share.</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Total amortization associated with partner warrants for the three and nine months ended September 30, 2023 was $958 and $3,834,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Incentive Plans: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Total compensation cost for share-based payments recognized for the three and nine months ended September 30, 2023 was $7,132 and $21,118, respectively and for the three and nine months ended September 30, 2022 was $6,671 and $19,260, respectively. During the nine months ended September 30, 2023, 203 thousand stock options were exercised. During the nine months ended September 30, 2023, 154 thousand service period restricted stock units were granted at a weighted average grant-date fair market value of $60.39. During the nine months ended September 30, 2023, 12 thousand time-options were granted at a fair value of $27.06. During the nine months ended September 30, 2023, 58 thousand restricted stock units vested.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 Attributable to Common Stockholders: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net earnings (loss) per share of common stock is calculated by dividing net income (loss) attributable to common stockholders by the weighted-average number of shares of common stock outstanding for the period. Diluted net earnings (loss) per share of common stock is computed by giving effect to all potentially dilutive securities. For purpose of determining diluted earnings per common share, the treasury stock method is used for stock options, warrants, and RSUs, and the if-converted method is used for convertible instruments such as convertible debt as prescribed in FASB ASC Topic 260. In conjunction with the issuance of the $402.5 million Convertible Notes in March 2023, the Company used $66.2 million of the proceeds to purchase capped call instruments. In accordance with FASB ASC 260, antidilutive contracts, such as purchased put options and purchased call options are excluded from the computation of diluted net loss per share. Accordingly, any potential impact resulting from capped call transaction is excluded from our computation of diluted net loss per share. Diluted net loss per common share is the same as basic net loss per common share, due to the fact that potentially dilutive securities would have an antidilutive effect as the Company incurred a net loss for the three and nine months ended September 30, 2023 and 2022.</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potentially dilutive securities excluded from the determination of diluted loss per share, as their effect is antidilutive,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3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3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Period Stock Options</w:t>
            </w:r>
          </w:p>
        </w:tc>
        <w:tc>
          <w:tcPr>
            <w:tcW w:w="342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1,150</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1,269</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1,211</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1,259</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3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505</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391</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Stock Options</w:t>
            </w:r>
          </w:p>
        </w:tc>
        <w:tc>
          <w:tcPr>
            <w:tcW w:w="3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1,050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944</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1,050</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944</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Convertible Notes</w:t>
            </w:r>
          </w:p>
        </w:tc>
        <w:tc>
          <w:tcPr>
            <w:tcW w:w="204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5,776</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5,776</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3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8,481</w:t>
            </w:r>
          </w:p>
        </w:tc>
        <w:tc>
          <w:tcPr>
            <w:tcW w:w="13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2,362</w:t>
            </w:r>
          </w:p>
        </w:tc>
        <w:tc>
          <w:tcPr>
            <w:tcW w:w="13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8,428</w:t>
            </w:r>
          </w:p>
        </w:tc>
        <w:tc>
          <w:tcPr>
            <w:tcW w:w="12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2,350</w:t>
            </w:r>
          </w:p>
        </w:tc>
      </w:tr>
      <w:tr>
        <w:trPr>
          <w:trHeight w:val="399"/>
        </w:trPr>
        <w:tc>
          <w:tcPr>
            <w:tcW w:w="394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18</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2"/>
        </w:trPr>
        <w:tc>
          <w:tcPr>
            <w:tcW w:w="39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03" w:right="339" w:bottom="1440" w:gutter="0" w:footer="0" w:header="0"/>
        </w:sectPr>
      </w:pPr>
    </w:p>
    <w:bookmarkStart w:id="18" w:name="page19"/>
    <w:bookmarkEnd w:id="18"/>
    <w:p>
      <w:pPr>
        <w:jc w:val="center"/>
        <w:ind w:left="340" w:right="2680"/>
        <w:spacing w:after="0" w:line="253" w:lineRule="auto"/>
        <w:rPr>
          <w:sz w:val="20"/>
          <w:szCs w:val="20"/>
          <w:color w:val="auto"/>
        </w:rPr>
      </w:pPr>
      <w:r>
        <w:rPr>
          <w:rFonts w:ascii="Arial" w:cs="Arial" w:eastAsia="Arial" w:hAnsi="Arial"/>
          <w:sz w:val="18"/>
          <w:szCs w:val="18"/>
          <w:b w:val="1"/>
          <w:bCs w:val="1"/>
          <w:color w:val="auto"/>
        </w:rPr>
        <w:t xml:space="preserve">FRESHPET, INC. AND SUBSIDIARIES NOTES TO CONDENSED CONSOLIDATED FINANCIAL STATEMENTS </w:t>
      </w:r>
      <w:r>
        <w:rPr>
          <w:rFonts w:ascii="Arial" w:cs="Arial" w:eastAsia="Arial" w:hAnsi="Arial"/>
          <w:sz w:val="18"/>
          <w:szCs w:val="18"/>
          <w:color w:val="auto"/>
        </w:rPr>
        <w:t>(Unaudited, in thousands, except share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Concentrations: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—The Company maintains its cash balances in financial institutions that are insured by the Federal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Corporation (“FDIC”) up to $250 each. At times, such balances may be in excess of the FDIC insurance limit.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Commitments - </w:t>
      </w:r>
      <w:r>
        <w:rPr>
          <w:rFonts w:ascii="Arial" w:cs="Arial" w:eastAsia="Arial" w:hAnsi="Arial"/>
          <w:sz w:val="18"/>
          <w:szCs w:val="18"/>
          <w:color w:val="auto"/>
        </w:rPr>
        <w:t>In August 2023, we entered into a lease arrangement for a to-be constructed office space, which will contribute right of use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lease liabilities upon lease commencement, which is expected to be the end of 2024. As of September 30, 2023, the future commitments related to this arrangement are not determinable as they are variable in nature. Our current headquarters lease in Secaucus, NJ expires in June 2024.</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We are currently involved in various claims and legal actions that arise in the ordinary course of our business,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claims resulting from employment related matters. None of these claims or proceedings, most of which are covered by insurance, are expected to have a material adverse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April 8, 2022, Phillips Feed Service, Inc., d/b/a Phillips Feed And Pet Supply ("Phillips") filed a complaint against the Company in U.S. District Court for the Eastern District of Pennsylvania (Allentown Division) for damages allegedly sustained as a result of the termination of the Company's distribution arrangement with Phillips, a former distributor of Freshpet products. Phillips asserts a claim for breach of contract, and seeks monetary damages in excess of $8,300 based on a claimed "termination payment" under a 2018 "Letter Of Intent" and additional damages based on a claim for improper notice of termination. Phillips also claims a right of setoff with respect to monies owed by Phillips to the Company.</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5, 2022, the Company answered the complaint disputing the claimed damages, assertions of breach of contract, and the right of offset. In addition, the Company counterclaimed breach of contract for amounts owed to Freshpet earned while Phillips served as an authorized distributor of Freshpet product.</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2022, due to the claims and counterclaims between the parties, the Company reclassified the amounts due from Phillips of $8,971 to other noncurrent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2023, the court ordered discovery period has ended and the parties continue to depose witnesses.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Based on information currently available and advice of counsel, we do not believe that the outcome of any of this matter is likely to have a material adverse effect on our business, financial condition, results of operations or liquidity. However, in the event of unexpected further developments, it is possible that the ultimate resolution of this matter, if unfavorable, may be materially adverse to our business, financial condition, results of operations or liquidity. Legal costs such as outside counsel fees and expenses are charged to selling, general and administrative expenses in the period incurred.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for recognition or disclosures.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did not identify any recognized or unrecognized subsequent events that have required adjustment or disclosure in the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accompanying unaudited condensed consolidated financial statements and related notes in Item 1 and with the audited consolidated financial statements and the related notes included in our Annual Report on Form 10-K for the year ended December 31, 2022 (our "Annual Report").</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as a result of various factors, including those set forth in the section entitled "Forward-Looking Statements" in this report and in the section entitled "Risk Factors" in our Annual Report and subsequent Quarterly Reports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started Freshpet with a single-minded mission to bring the power of real, fresh food to our dogs and cats. We were inspired by the rapidly growing view among pet owners that their dogs and cats are a part of their family, leading them to demand healthier pet food choices. Since Freshpet's inception in 2006, we have created a comprehensive business model to deliver wholesome pet food that pet parents can trust, and in the process we believe we have become one of the fastest growing pet food companies in North America. Our business model is difficult for others to replicate and we see significant opportunity for future growth by leveraging the unique elements of our business, including our brand, our product know-how, our Freshpet Kitchens, our refrigerated distribution, our Freshpet Fridge and our culture.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net sales are derived from the sale of products that are sold to retailers through broker and distributor arrangements. Our products are sold to consumers through a fast-growing network of company-owned branded refrigerators, known as Freshpet Fridges, located in our customers’ stores. We continue to roll out Freshpet Fridges at leading retailers across North America and parts of Europe and have installed Freshpet Fridges in approximately 26,385 retail stores as of September 30, 2023. Our products are sold under the Freshpet brand name with ingredients, packaging and labeling customized by class of retail. Sales are recorded net of discounts, returns and promotional allowances.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net sales growth is driven by the following key factors:</w:t>
      </w:r>
    </w:p>
    <w:p>
      <w:pPr>
        <w:spacing w:after="0" w:line="8" w:lineRule="exact"/>
        <w:rPr>
          <w:sz w:val="20"/>
          <w:szCs w:val="20"/>
          <w:color w:val="auto"/>
        </w:rPr>
      </w:pPr>
    </w:p>
    <w:p>
      <w:pPr>
        <w:jc w:val="both"/>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sales velocity from the average Freshpet Fridge due to increasing awareness, trial and adoption of Freshpet products and innovation. Our investments in marketing and advertising help to drive awareness and trial at each point of sale.</w:t>
      </w:r>
    </w:p>
    <w:p>
      <w:pPr>
        <w:spacing w:after="0" w:line="42"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penetration of Freshpet Fridge locations in major classes of retail, including Grocery (including online), Mass, Club, Pet Specialty, and Natural. The impact of new Freshpet Fridge installations on our net sales varies by retail class and depends on numerous factors including store traffic, refrigerator size, placement within the store, and proximity to other stores that carry our products.</w:t>
      </w:r>
    </w:p>
    <w:p>
      <w:pPr>
        <w:spacing w:after="0" w:line="3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trends including growing pet ownership, pet humanization and a focus on health and wellness.</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that as a result of the above key factors, we will continue to penetrate the pet food marketplace and increase our share of the pet food category.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gross profit is net of costs of goods sold, which include the costs of product manufacturing, product ingredients, packaging materials and inbound freight, as well as depreciation and amortization and non-cash share based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continue to mitigate any adverse movement in input costs through a combination of cost management and price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selling, general and administrative expenses consist of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Outbound freight. </w:t>
      </w:r>
      <w:r>
        <w:rPr>
          <w:rFonts w:ascii="Arial" w:cs="Arial" w:eastAsia="Arial" w:hAnsi="Arial"/>
          <w:sz w:val="18"/>
          <w:szCs w:val="18"/>
          <w:color w:val="auto"/>
        </w:rPr>
        <w:t>We use a third-party logistics provider for outbound freight that ships directly to retailers as well as third-party distributors.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Marketing &amp; advertising. </w:t>
      </w:r>
      <w:r>
        <w:rPr>
          <w:rFonts w:ascii="Arial" w:cs="Arial" w:eastAsia="Arial" w:hAnsi="Arial"/>
          <w:sz w:val="18"/>
          <w:szCs w:val="18"/>
          <w:color w:val="auto"/>
        </w:rPr>
        <w:t>Our marketing and advertising expenses primarily consist of national television media, digital marketing, social</w:t>
      </w:r>
      <w:r>
        <w:rPr>
          <w:rFonts w:ascii="Arial" w:cs="Arial" w:eastAsia="Arial" w:hAnsi="Arial"/>
          <w:sz w:val="18"/>
          <w:szCs w:val="18"/>
          <w:i w:val="1"/>
          <w:iCs w:val="1"/>
          <w:color w:val="auto"/>
        </w:rPr>
        <w:t xml:space="preserve"> </w:t>
      </w:r>
      <w:r>
        <w:rPr>
          <w:rFonts w:ascii="Arial" w:cs="Arial" w:eastAsia="Arial" w:hAnsi="Arial"/>
          <w:sz w:val="18"/>
          <w:szCs w:val="18"/>
          <w:color w:val="auto"/>
        </w:rPr>
        <w:t>media and grass roots marketing to drive brand awareness. These expenses may vary from quarter to quarter depending on the timing of our marketing and advertising campaigns. Our Feed the Growth initiative focuses on growing the business through increased marketing investments.</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Freshpet Fridge operating costs. </w:t>
      </w:r>
      <w:r>
        <w:rPr>
          <w:rFonts w:ascii="Arial" w:cs="Arial" w:eastAsia="Arial" w:hAnsi="Arial"/>
          <w:sz w:val="18"/>
          <w:szCs w:val="18"/>
          <w:color w:val="auto"/>
        </w:rPr>
        <w:t>Freshpet Fridge operating costs consist of repair costs and depreciation. The purchase and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new Freshpet Fridges are capitalized and depreciated over the estimated useful life. All new refrigerators are covered by a manufacturer warranty for three years. We subsequently incur maintenance and freight costs for repairs and refurbishments handled by third-party service providers.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67" w:lineRule="auto"/>
        <w:rPr>
          <w:sz w:val="20"/>
          <w:szCs w:val="20"/>
          <w:color w:val="auto"/>
        </w:rPr>
      </w:pPr>
      <w:r>
        <w:rPr>
          <w:rFonts w:ascii="Arial" w:cs="Arial" w:eastAsia="Arial" w:hAnsi="Arial"/>
          <w:sz w:val="18"/>
          <w:szCs w:val="18"/>
          <w:i w:val="1"/>
          <w:iCs w:val="1"/>
          <w:color w:val="auto"/>
        </w:rPr>
        <w:t xml:space="preserve">Research &amp; development. </w:t>
      </w:r>
      <w:r>
        <w:rPr>
          <w:rFonts w:ascii="Arial" w:cs="Arial" w:eastAsia="Arial" w:hAnsi="Arial"/>
          <w:sz w:val="18"/>
          <w:szCs w:val="18"/>
          <w:color w:val="auto"/>
        </w:rPr>
        <w:t>Research and development costs consist of expenses to develop and test new products. The costs are expensed</w:t>
      </w:r>
      <w:r>
        <w:rPr>
          <w:rFonts w:ascii="Arial" w:cs="Arial" w:eastAsia="Arial" w:hAnsi="Arial"/>
          <w:sz w:val="18"/>
          <w:szCs w:val="18"/>
          <w:i w:val="1"/>
          <w:iCs w:val="1"/>
          <w:color w:val="auto"/>
        </w:rPr>
        <w:t xml:space="preserve"> </w:t>
      </w:r>
      <w:r>
        <w:rPr>
          <w:rFonts w:ascii="Arial" w:cs="Arial" w:eastAsia="Arial" w:hAnsi="Arial"/>
          <w:sz w:val="18"/>
          <w:szCs w:val="18"/>
          <w:color w:val="auto"/>
        </w:rPr>
        <w:t>as incurred.</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Brokerage. </w:t>
      </w:r>
      <w:r>
        <w:rPr>
          <w:rFonts w:ascii="Arial" w:cs="Arial" w:eastAsia="Arial" w:hAnsi="Arial"/>
          <w:sz w:val="18"/>
          <w:szCs w:val="18"/>
          <w:color w:val="auto"/>
        </w:rPr>
        <w:t>We use third-party brokers to assist with monitoring our products at the point-of-sale as well as representing us at headquarters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for various customers. These brokers visit our retail customers’ store locations to ensure items are appropriately stocked and maintained.</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account for all share-based compensation payments issued to employees, directors and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a fair value method. Accordingly, share-based compensation expense is measured based on the estimated fair value of the awards on the grant date. We recognize compensation expense for the portion of the award that is ultimately expected to vest over the period during which the recipient renders the required services to us using the straight-line single option method.</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Other general &amp; administrative costs. </w:t>
      </w:r>
      <w:r>
        <w:rPr>
          <w:rFonts w:ascii="Arial" w:cs="Arial" w:eastAsia="Arial" w:hAnsi="Arial"/>
          <w:sz w:val="18"/>
          <w:szCs w:val="18"/>
          <w:color w:val="auto"/>
        </w:rPr>
        <w:t>Other general and administrative costs include non-plant personnel salaries and benefits,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general &amp; administrative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federal net operating loss (“NOL”) carry forwards of approximately $340.3 million as of December 31, 2022, of which approximately $175.4 million, generated in 2017 and prior, will expire between 2025 and 2037. The NOLs generated from 2018 through 2022, of approximately $164.9 million, will have an indefinite carryforward period but can generally only be used to offset 80% of taxable income in any particular year. We may be subject to certain limitations in our annual utilization of NOL carry forwards to off-set future taxable income pursuant to Section 382 of the Internal Revenue Code, which could result in NOLs expiring unused. At December 31, 2022, we had approximately $259.4 million of state NOLs, which expire between 2023 and 2041, and had $14.3 million of foreign NOLs which do not expire. At December 31, 2022, we had a full valuation allowance against our net deferred tax assets as the realization of such assets was not considered more likely than not.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4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Condensed Consolidated Statements of Operations and Comprehensive Loss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4400" w:type="dxa"/>
            <w:vAlign w:val="bottom"/>
            <w:gridSpan w:val="9"/>
          </w:tcPr>
          <w:p>
            <w:pPr>
              <w:jc w:val="right"/>
              <w:ind w:right="8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3"/>
          </w:tcPr>
          <w:p>
            <w:pPr>
              <w:jc w:val="right"/>
              <w:ind w:right="670"/>
              <w:spacing w:after="0" w:line="196"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3"/>
          </w:tcPr>
          <w:p>
            <w:pPr>
              <w:jc w:val="right"/>
              <w:ind w:right="690"/>
              <w:spacing w:after="0" w:line="196"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3"/>
          </w:tcPr>
          <w:p>
            <w:pPr>
              <w:jc w:val="right"/>
              <w:ind w:right="7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 of 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 of 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7"/>
              </w:rPr>
              <w:t>% of 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Sales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Sales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Sales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right"/>
              <w:ind w:right="320"/>
              <w:spacing w:after="0" w:line="196" w:lineRule="exact"/>
              <w:rPr>
                <w:sz w:val="20"/>
                <w:szCs w:val="20"/>
                <w:color w:val="auto"/>
              </w:rPr>
            </w:pPr>
            <w:r>
              <w:rPr>
                <w:rFonts w:ascii="Arial" w:cs="Arial" w:eastAsia="Arial" w:hAnsi="Arial"/>
                <w:sz w:val="18"/>
                <w:szCs w:val="18"/>
                <w:b w:val="1"/>
                <w:bCs w:val="1"/>
                <w:color w:val="auto"/>
              </w:rPr>
              <w:t>(Dollars in thousands)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200,621</w:t>
            </w:r>
          </w:p>
        </w:tc>
        <w:tc>
          <w:tcPr>
            <w:tcW w:w="11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151,333</w:t>
            </w:r>
          </w:p>
        </w:tc>
        <w:tc>
          <w:tcPr>
            <w:tcW w:w="1280" w:type="dxa"/>
            <w:vAlign w:val="bottom"/>
            <w:tcBorders>
              <w:righ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551,474</w:t>
            </w:r>
          </w:p>
        </w:tc>
        <w:tc>
          <w:tcPr>
            <w:tcW w:w="12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429,511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134,328</w:t>
            </w:r>
          </w:p>
        </w:tc>
        <w:tc>
          <w:tcPr>
            <w:tcW w:w="2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106,788</w:t>
            </w: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375,177</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289,187</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right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66,293</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44,545</w:t>
            </w:r>
          </w:p>
        </w:tc>
        <w:tc>
          <w:tcPr>
            <w:tcW w:w="1280" w:type="dxa"/>
            <w:vAlign w:val="bottom"/>
            <w:tcBorders>
              <w:right w:val="single" w:sz="8" w:color="CCEEFF"/>
            </w:tcBorders>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176,297</w:t>
            </w:r>
          </w:p>
        </w:tc>
        <w:tc>
          <w:tcPr>
            <w:tcW w:w="1200" w:type="dxa"/>
            <w:vAlign w:val="bottom"/>
            <w:tcBorders>
              <w:right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140,324</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0"/>
        </w:trPr>
        <w:tc>
          <w:tcPr>
            <w:tcW w:w="2180" w:type="dxa"/>
            <w:vAlign w:val="bottom"/>
          </w:tcPr>
          <w:p>
            <w:pPr>
              <w:spacing w:after="0" w:line="189" w:lineRule="exact"/>
              <w:rPr>
                <w:sz w:val="20"/>
                <w:szCs w:val="20"/>
                <w:color w:val="auto"/>
              </w:rPr>
            </w:pPr>
            <w:r>
              <w:rPr>
                <w:rFonts w:ascii="Arial" w:cs="Arial" w:eastAsia="Arial" w:hAnsi="Arial"/>
                <w:sz w:val="18"/>
                <w:szCs w:val="18"/>
                <w:color w:val="auto"/>
              </w:rPr>
              <w:t>Selling, general and</w:t>
            </w: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73,371</w:t>
            </w:r>
          </w:p>
        </w:tc>
        <w:tc>
          <w:tcPr>
            <w:tcW w:w="220" w:type="dxa"/>
            <w:vAlign w:val="bottom"/>
            <w:vMerge w:val="restart"/>
          </w:tcPr>
          <w:p>
            <w:pPr>
              <w:spacing w:after="0"/>
              <w:rPr>
                <w:sz w:val="16"/>
                <w:szCs w:val="16"/>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60,449</w:t>
            </w:r>
          </w:p>
        </w:tc>
        <w:tc>
          <w:tcPr>
            <w:tcW w:w="128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221,638</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190,241</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18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right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(7,078)</w:t>
            </w:r>
          </w:p>
        </w:tc>
        <w:tc>
          <w:tcPr>
            <w:tcW w:w="11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(15,904)</w:t>
            </w:r>
          </w:p>
        </w:tc>
        <w:tc>
          <w:tcPr>
            <w:tcW w:w="1280" w:type="dxa"/>
            <w:vAlign w:val="bottom"/>
            <w:tcBorders>
              <w:right w:val="single" w:sz="8" w:color="CCEEFF"/>
            </w:tcBorders>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(45,341)</w:t>
            </w:r>
          </w:p>
        </w:tc>
        <w:tc>
          <w:tcPr>
            <w:tcW w:w="1200" w:type="dxa"/>
            <w:vAlign w:val="bottom"/>
            <w:tcBorders>
              <w:right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(49,917)</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0"/>
        </w:trPr>
        <w:tc>
          <w:tcPr>
            <w:tcW w:w="2180" w:type="dxa"/>
            <w:vAlign w:val="bottom"/>
          </w:tcPr>
          <w:p>
            <w:pPr>
              <w:spacing w:after="0" w:line="189" w:lineRule="exact"/>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(expense), net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4,130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9,185</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(4,148)</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(1,817)</w:t>
            </w:r>
          </w:p>
        </w:tc>
        <w:tc>
          <w:tcPr>
            <w:tcW w:w="1280" w:type="dxa"/>
            <w:vAlign w:val="bottom"/>
            <w:tcBorders>
              <w:right w:val="single" w:sz="8" w:color="CCEEFF"/>
            </w:tcBorders>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(10,648)</w:t>
            </w:r>
          </w:p>
        </w:tc>
        <w:tc>
          <w:tcPr>
            <w:tcW w:w="1200" w:type="dxa"/>
            <w:vAlign w:val="bottom"/>
            <w:tcBorders>
              <w:right w:val="single" w:sz="8" w:color="CCEEFF"/>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(4,060)</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tcBorders>
          </w:tcPr>
          <w:p>
            <w:pPr>
              <w:ind w:left="340"/>
              <w:spacing w:after="0" w:line="183" w:lineRule="exact"/>
              <w:rPr>
                <w:sz w:val="20"/>
                <w:szCs w:val="20"/>
                <w:color w:val="auto"/>
              </w:rPr>
            </w:pPr>
            <w:r>
              <w:rPr>
                <w:rFonts w:ascii="Arial" w:cs="Arial" w:eastAsia="Arial" w:hAnsi="Arial"/>
                <w:sz w:val="18"/>
                <w:szCs w:val="18"/>
                <w:color w:val="auto"/>
              </w:rPr>
              <w:t>Loss before income</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3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(7,096)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(17,465)</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(46,804)</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(53,485)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1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1280" w:type="dxa"/>
            <w:vAlign w:val="bottom"/>
            <w:tcBorders>
              <w:right w:val="single" w:sz="8" w:color="CCEEFF"/>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210</w:t>
            </w:r>
          </w:p>
        </w:tc>
        <w:tc>
          <w:tcPr>
            <w:tcW w:w="1200" w:type="dxa"/>
            <w:vAlign w:val="bottom"/>
            <w:tcBorders>
              <w:right w:val="single" w:sz="8" w:color="CCEEFF"/>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0"/>
        </w:trPr>
        <w:tc>
          <w:tcPr>
            <w:tcW w:w="2180" w:type="dxa"/>
            <w:vAlign w:val="bottom"/>
          </w:tcPr>
          <w:p>
            <w:pPr>
              <w:spacing w:after="0" w:line="189" w:lineRule="exact"/>
              <w:rPr>
                <w:sz w:val="20"/>
                <w:szCs w:val="20"/>
                <w:color w:val="auto"/>
              </w:rPr>
            </w:pPr>
            <w:r>
              <w:rPr>
                <w:rFonts w:ascii="Arial" w:cs="Arial" w:eastAsia="Arial" w:hAnsi="Arial"/>
                <w:sz w:val="18"/>
                <w:szCs w:val="18"/>
                <w:color w:val="auto"/>
              </w:rPr>
              <w:t>Loss on equity method</w:t>
            </w: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6"/>
                <w:szCs w:val="16"/>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943</w:t>
            </w:r>
          </w:p>
        </w:tc>
        <w:tc>
          <w:tcPr>
            <w:tcW w:w="128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1,890</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2,969</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180" w:type="dxa"/>
            <w:vAlign w:val="bottom"/>
          </w:tcPr>
          <w:p>
            <w:pPr>
              <w:spacing w:after="0" w:line="202" w:lineRule="exact"/>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(7,166)</w:t>
            </w:r>
          </w:p>
        </w:tc>
        <w:tc>
          <w:tcPr>
            <w:tcW w:w="11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(18,449)</w:t>
            </w:r>
          </w:p>
        </w:tc>
        <w:tc>
          <w:tcPr>
            <w:tcW w:w="1280" w:type="dxa"/>
            <w:vAlign w:val="bottom"/>
            <w:tcBorders>
              <w:right w:val="single" w:sz="8" w:color="CCEEFF"/>
            </w:tcBorders>
            <w:gridSpan w:val="3"/>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(48,904)</w:t>
            </w:r>
          </w:p>
        </w:tc>
        <w:tc>
          <w:tcPr>
            <w:tcW w:w="120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(56,577)</w:t>
            </w:r>
          </w:p>
        </w:tc>
        <w:tc>
          <w:tcPr>
            <w:tcW w:w="11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class of retailer: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8"/>
                <w:szCs w:val="18"/>
                <w:b w:val="1"/>
                <w:bCs w:val="1"/>
                <w:color w:val="auto"/>
              </w:rPr>
              <w:t>Three Months Ended 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 of</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Store</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 of</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Store</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Net Sales</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Count</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Net Sales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Count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5"/>
              </w:rPr>
              <w:t>(Dollars in</w:t>
            </w:r>
          </w:p>
        </w:tc>
        <w:tc>
          <w:tcPr>
            <w:tcW w:w="220" w:type="dxa"/>
            <w:vAlign w:val="bottom"/>
          </w:tcPr>
          <w:p>
            <w:pPr>
              <w:spacing w:after="0"/>
              <w:rPr>
                <w:sz w:val="17"/>
                <w:szCs w:val="17"/>
                <w:color w:val="auto"/>
              </w:rPr>
            </w:pPr>
          </w:p>
        </w:tc>
        <w:tc>
          <w:tcPr>
            <w:tcW w:w="8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8"/>
              </w:rPr>
              <w:t>thousands)</w:t>
            </w: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Grocery, Mass and Club (1)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179,121</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20,768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132,757</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19,081</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Pet Specialty and Natural (2)</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21,500</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5,617</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18,576</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 (3)</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200,621</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26,385</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151,333</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Stores at September 30, 2023 and 2022 consisted of 14,558 and 13,429 Grocery and 6,210 and 5,652 Mass and Club, respectively.</w:t>
      </w:r>
    </w:p>
    <w:p>
      <w:pPr>
        <w:spacing w:after="0" w:line="7" w:lineRule="exact"/>
        <w:rPr>
          <w:rFonts w:ascii="Arial" w:cs="Arial" w:eastAsia="Arial" w:hAnsi="Arial"/>
          <w:sz w:val="18"/>
          <w:szCs w:val="18"/>
          <w:color w:val="auto"/>
        </w:rPr>
      </w:pPr>
    </w:p>
    <w:p>
      <w:pPr>
        <w:ind w:left="500" w:hanging="492"/>
        <w:spacing w:after="0" w:line="23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Stores at September 30, 2023 and 2022 consisted of 5,143 and 5,096 Pet Specialty and 474 and 474 Natural, respectively.</w:t>
      </w: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sales associated with each class of retailer are included within their respective total.</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sales increased $49.3 million, or 32.6%, to $200.6 million for the three months ended September 30, 2023 as compared to $151.3 million in the same period in the prior year. The $49.3 million increase in net sales was driven by growth in the Grocery (including Online), Mass, and Club refrigerated channel of $46.4 million, with the remaining growth in Pet Specialty and Natural. The net sales increase was driven by both volume gains and higher pricing.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was $66.3 million, or 33.0% as a percentage of net sales, for the three months ended September 30, 2023, compared to $44.5 million, or 29.4% as a percentage of net sales, in the prior year period. The increase in gross profit as a percentage of net sales was primarily due to decreased unabsorbed plant cost as we grow into the Ennis facility, reduced quality and input cost as a percentage of net sales, partially offset by increased depreciation expense associated with the Company's capacity expansion and increased share-based compensation. For the three months ended September 30, 2023, Adjusted Gross Profit was $80.6 million, or 40.2% as a percentage of net sales, compared to $52.2 million, or 34.5% as a percentage of net sales, in the prior year period.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See “—Non-GAAP Financial Measures” for how we define Adjusted Gross Profit, a reconciliation of Adjusted Gross Profit to gross profit, the closest comparable U.S. GAAP measure, certain limitations of Non-GAAP measures and why management has included such Non-GAAP measures.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Selling, general and administrative expenses ("SG&amp;A") were $73.4 million for the three months ended September 30, 2023, compared to $60.4 million in the prior year period. As a percentage of net sales, SG&amp;A decreased to 36.6% for the three months ended September 30, 2023, compared to 39.9% in the prior year period. The decrease of 330 basis points in SG&amp;A as a percentage of net sales was mainly a result of reduced logistics costs as a percentage of net sales, decreased cost related to the ERP implementation, and increased leverage on depreciation and share-based compensation as the business scales, partially offset by activism engagement charges and increased variable compensation accrual.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SG&amp;A for the three months ended September 30, 2023, was $57.4 million, or 28.6% as a percentage of net sales, compared to $48.9 million, or 32.3% as a percentage of net sales, in the prior year period.</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See “—Non-GAAP Financial Measures” for how we define Adjusted SG&amp;A, a reconciliation of Adjusted SG&amp;A to SG&amp;A, the closest comparable U.S. GAAP measure, certain limitations of Non-GAAP measures and why management has included such Non-GAAP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a result of the factors discussed above, loss from operations decreased by $8.8 million to a loss from operations of $7.1 million for the three months ended September 30, 2023 as compared to a loss from operations of $15.9 million for the same period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recorded Interest and Other Income (Expense), net of $4.1 million for the three months ended September 30, 2023 as a result of interest income generated from cash and short-term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Interest expense increased $2.3 million to interest expense of $4.1 million for the three months ended September 30, 2023 as compared to interest expense of $1.8 million for the same period in the prior year. The increase was primarily driven by a $1.7 million increase as a result of interest incurred on our Convertible Notes compared to the interest incurred on the Credit Agreement that existed in the prior period, as well as a $0.6 million increase related to the interest on our finance lease liability.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Equity Method Investment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loss on equity method investment for the three months ended September 30, 2023 was $0 as compared to a loss on equity method investment of $0.9 million in the prior year period from the Company's 19% interest in a privately held company, as discussed in Note 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loss decreased $11.3 million to a net loss of $7.2 million for the three months ended September 30, 2023, as compared to a net loss of $18.4 million for the same period in the prior year due to contribution profit from higher sales, partially offset by increased SG&amp;A including increased media spend of $5.1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Adjusted EBITDA was $23.2 million for the three months ended September 30, 2023, compared to $ 3.5 million in the prior year period. The increase in Adjusted EBITDA was a result of higher Adjusted Gross Profit due to sales growth and leverage on plant cost and decreased quality and input costs, partially offset by higher Adjusted SG&amp;A expenses.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See "—Non-GAAP Financial Measures" for how we define Adjusted EBITDA, a reconciliation of Adjusted EBITDA to net loss the closest comparable U.S. GAAP measure, certain limitations of Non-GAAP measures and why management has included such Non -GAAP measures; see the section entitled "Forward-Looking Statements" in this report and the section entitled "Risk Factors" in our Annual Report and subsequent Quarterly Reports on Form 10-Q for factors that could cause our results to differ, in some cases materially.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class of retailer: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9"/>
          </w:tcPr>
          <w:p>
            <w:pPr>
              <w:jc w:val="right"/>
              <w:ind w:right="900"/>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 of</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Store</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 of</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Store</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Net Sales</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Count</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Net Sales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Count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5"/>
              </w:rPr>
              <w:t>(Dollars in</w:t>
            </w:r>
          </w:p>
        </w:tc>
        <w:tc>
          <w:tcPr>
            <w:tcW w:w="220" w:type="dxa"/>
            <w:vAlign w:val="bottom"/>
          </w:tcPr>
          <w:p>
            <w:pPr>
              <w:spacing w:after="0"/>
              <w:rPr>
                <w:sz w:val="17"/>
                <w:szCs w:val="17"/>
                <w:color w:val="auto"/>
              </w:rPr>
            </w:pPr>
          </w:p>
        </w:tc>
        <w:tc>
          <w:tcPr>
            <w:tcW w:w="8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8"/>
              </w:rPr>
              <w:t>thousands)</w:t>
            </w: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Grocery, Mass and Club (1)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490,262</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20,768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375,847</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19,081</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Pet Specialty and Natural (2)</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61,212</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5,617</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53,664</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 (3)</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551,474</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26,385</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429,511</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Stores at September 30, 2023 and 2022 consisted of 14,558 and 13,429 Grocery and 6,210 and 5,652 Mass and Club, respectively.</w:t>
      </w:r>
    </w:p>
    <w:p>
      <w:pPr>
        <w:spacing w:after="0" w:line="7" w:lineRule="exact"/>
        <w:rPr>
          <w:rFonts w:ascii="Arial" w:cs="Arial" w:eastAsia="Arial" w:hAnsi="Arial"/>
          <w:sz w:val="18"/>
          <w:szCs w:val="18"/>
          <w:color w:val="auto"/>
        </w:rPr>
      </w:pPr>
    </w:p>
    <w:p>
      <w:pPr>
        <w:ind w:left="500" w:hanging="492"/>
        <w:spacing w:after="0" w:line="23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Stores at September 30, 2023 and 2022 consisted of 5,143 and 5,096 Pet Specialty and 474 and 474 Natural, respectively.</w:t>
      </w: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Online sales associated with each class of retailer are included within their respective total.</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sales increased $122.0 million, or 28.4%, to $551.5 million for the nine months ended September 30, 2023 as compared to $429.5 million in the same period in the prior year. The $122.0 million increase in net sales was driven by growth in the Grocery (including Online), Mass, and Club refrigerated channel of $114.4 million, with the remaining growth in Pet Specialty and Natural. The net sales increase was driven by both volume gains, and higher pricing.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was $176.3 million, or 32.0% as a percentage of net sales, for the nine months ended September 30, 2023, compared to $ 140.3 million, or 32.7% as a percentage of net sales, in the prior year period. The decrease in reported gross profit as a percentage of net sales was primarily due to increased stock compensation expense and depreciation expense associated with the Company's capacity expansion, partially offset by reduced input and quality cost as a percentage of net sales. For the nine months ended September 30, 2023, Adjusted Gross Profit was $218.1 million, or 39.5% as a percentage of net sales, compared to $159.3 million, or 37.1% as a percentage of net sales, in the prior year period.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See “—Non-GAAP Financial Measures” for how we define Adjusted Gross Profit, a reconciliation of Adjusted Gross Profit to gross profit, the closest comparable U.S. GAAP measure, certain limitations of Non-GAAP measures and why management has included such Non-GAAP measures.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Selling, general and administrative expenses ("SG&amp;A") were $221.6 million for the nine months ended September 30, 2023, compared to $190.2 million in the prior year period. As a percentage of net sales, SG&amp;A decreased to 40.2% for the nine months ended September 30, 2023, compared to 44.3% in the prior year period. The decrease of 410 basis points in SG&amp;A as a percentage of net sales was mainly a result of reduced logistics cost as a percentage of net sales, decreased cost related to the ERP implementation, and increased leverage on media, depreciation and share-based compensation as the business scales, partially offset by activism engagement charges and increased variable compensation accrual.</w:t>
      </w:r>
    </w:p>
    <w:p>
      <w:pPr>
        <w:spacing w:after="0" w:line="18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Adjusted SG&amp;A for the nine months ended September 30, 2023, was $182.9 million, or 33.2% as a percentage of net sales, compared to $158.5 million, or 36.9% as a percentage of net sales, in the prior year period.</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See “—Non-GAAP Financial Measures” for how we define Adjusted SG&amp;A, a reconciliation of Adjusted SG&amp;A to SG&amp;A, the closest comparable U.S. GAAP measure, certain limitations of Non-GAAP measures and why management has included such Non-GAAP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the factors discussed above, loss from operations decreased by $4.6 million to a loss from operations of $45.3 million for the nine months ended September 30, 2023 as compared to a loss from operations of $49.9 million for the same period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recorded Interest and Other Income (Expense), net of $9.2 million for the nine months ended September 30, 2023 as a result of interest income generated from cash and short-term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Interest expense increased $6.5 million to interest expense of $10.6 million for the nine months ended September 30, 2023 as compared to interest expense of $4.1 million for the same period in the prior year. The increase was primarily driven by the termination of our Credit Agreement in the current period resulting in the write-off of unamortized fees of $2.5 million which were recorded to interest expense, $3.4 million increase as a result of interest incurred on our Convertible Notes compared to interest incurred on the Credit Agreement that existed in the prior period, as well as a $0.6 million increase related to the interest on our finance lease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Equity Method Investment</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loss on equity method investment for the nine months ended September 30, 2023, was $1.9 million as compared to a loss on equity method investment of $3.0 million in the prior year period from the Company's 19% interest in a privately held company, as discussed in Note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loss decreased $7.7 million to a net loss of $48.9 million for the nine months ended September 30, 2023, as compared to a net loss of $56.6 million for the same period in the prior year due to contribution profit from higher sales, partially offset by increased SG&amp;A including increased media spend of $12.7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EBITDA was $35.2 million for the nine months ended September 30, 2023, compared to $1.3 million in the prior year period. The increase in Adjusted EBITDA was a result of increased Adjusted Gross Profit partially offset by higher Adjusted SG&amp;A expense.</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See "—Non-GAAP Financial Measures" for how we define Adjusted EBITDA, a reconciliation of Adjusted EBITDA to net loss, the closest comparable U.S. GAAP measure, certain limitations of Non-GAAP measures and why management has included such Non -GAAP measures; see the section entitled "Forward-Looking Statements" in this report and the section entitled "Risk Factors" in our Annual Report and subsequent Quarterly Reports on Form 10-Q for factors that could cause our results to differ, in some cases materially.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Non-GAAP Financial Measures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w:t>
      </w:r>
    </w:p>
    <w:p>
      <w:pPr>
        <w:spacing w:after="0" w:line="17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Gross Profit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Gross Profit as a percentage of net sales (Adjusted Gross Margin)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SG&amp;A expenses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SG&amp;A expenses as a percentage of net sales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as a percentage of net sales (Adjusted EBITDA Margin)</w:t>
      </w: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Such financial measures are not financial measures prepared in accordance with U.S. GAAP. We define Adjusted Gross Profit as Gross Profit before depreciation expense and non-cash share-based compensation. We define Adjusted SG&amp;A as SG&amp;A expenses before depreciation and amortization expense, non-cash share-based compensation, implementation and other costs associated with the implementation of an ERP system, fees related to the Capped Call Transactions purchases, loss on disposal of equipment, and advisory fees related to activism engagement. EBITDA represents net income (loss) plus interest expense net of interest income, income tax expense and depreciation and amortization. Adjusted EBITDA represents EBITDA plus loss on equity method investment, non-cash share-based compensation, implementation and other costs associated with the implementation of an ERP system, loss on disposal of equipment, fees related to the Capped Call Transactions purchases, and advisory fees related to activism engagement.</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each of these non-GAAP financial measures provide additional metrics to evaluate our operations and, when considered with both our U.S. GAAP results and the reconciliation to the closest comparable U.S. GAAP measures, provides a more complete understanding of our business than could be obtained absent this disclosure. We use the non-GAAP financial measures, together with U.S. GAAP financial measures, such as net sales,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also an important component of internal budgeting and setting management compensation.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Neither EBITDA nor Adjusted EBITDA should be considered a measure of discretionary cash available to us to invest in the growth of our business. Our non-GAAP financial measures may not be comparable to similarly titled measures in other organizations because other organizations may not calculate non-GAAP financial measures in the same manner as we do.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7" w:name="page28"/>
    <w:bookmarkEnd w:id="27"/>
    <w:p>
      <w:pPr>
        <w:jc w:val="both"/>
        <w:spacing w:after="0" w:line="247" w:lineRule="auto"/>
        <w:rPr>
          <w:sz w:val="20"/>
          <w:szCs w:val="20"/>
          <w:color w:val="auto"/>
        </w:rPr>
      </w:pPr>
      <w:r>
        <w:rPr>
          <w:rFonts w:ascii="Arial" w:cs="Arial" w:eastAsia="Arial" w:hAnsi="Arial"/>
          <w:sz w:val="18"/>
          <w:szCs w:val="18"/>
          <w:color w:val="auto"/>
        </w:rPr>
        <w:t>Our presentation of the non-GAAP financial measures should not be construed as an inference that our future results will be unaffected by the expenses that are excluded from that term or by unusual or non-recurring items. We recognize that the non-GAAP financial measures have limitations as analytical financial measures. For example, the non-GAAP financial measures do not reflect: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w:t>
      </w:r>
    </w:p>
    <w:p>
      <w:pPr>
        <w:spacing w:after="0" w:line="6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expense, or the cash requirements necessary to service interest expense or principal payments, associated with indebtedness;</w:t>
      </w:r>
    </w:p>
    <w:p>
      <w:pPr>
        <w:spacing w:after="0" w:line="24"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nor any cash requirements for such replacements; and</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cash requirements for our working capital needs.</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Additionally, Adjusted EBITDA excludes (i) non-cash share-based compensation expense, which is and will remain a key element of our overall long-term incentive compensation package, and (ii) certain costs essential to our sales growth and strategy. Adjusted EBITDA also excludes certain cash charges resulting from matters we consider not to be indicative of our ongoing operations. Other companies in our industry may calculate the non-GAAP financial measures differently than we do, limiting their usefulness as comparative measures.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following table provides a reconciliation of EBITDA and Adjusted EBITDA to net loss, the most directly comparable financial measure presented in accordance with U.S. GAAP: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jc w:val="right"/>
              <w:ind w:right="580"/>
              <w:spacing w:after="0" w:line="196" w:lineRule="exact"/>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(7,166)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(18,449)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(48,904)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(56,577)</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16,219</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8,546</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45,149</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24,424</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 of interest income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1,817</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4,060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w:t>
            </w: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b w:val="1"/>
                <w:bCs w:val="1"/>
                <w:color w:val="auto"/>
              </w:rPr>
              <w:t>9,141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(8,045)</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(2,082)</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(27,970)</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18"/>
                <w:szCs w:val="18"/>
                <w:color w:val="auto"/>
              </w:rPr>
              <w:t>Loss on equity method investment</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943</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1,890</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2,969</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disposal of equipment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8,090</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7,821</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24,952</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20,409</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Enterprise Resource Planning (a)</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1,937</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1,550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4,946</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Capped Call Transactions fees (b)</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113</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Activism engagement (c)</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5,548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8,177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Organization changes (d)</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734</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w:t>
            </w: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23,217</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3,514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35,221</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b w:val="1"/>
                <w:bCs w:val="1"/>
                <w:color w:val="auto"/>
              </w:rPr>
              <w:t>1,291</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Adjusted EBITDA as a % of Net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w:t>
            </w:r>
          </w:p>
        </w:tc>
      </w:tr>
    </w:tbl>
    <w:p>
      <w:pPr>
        <w:spacing w:after="0" w:line="163" w:lineRule="exact"/>
        <w:rPr>
          <w:sz w:val="20"/>
          <w:szCs w:val="20"/>
          <w:color w:val="auto"/>
        </w:rPr>
      </w:pPr>
    </w:p>
    <w:p>
      <w:pPr>
        <w:ind w:left="980" w:hanging="486"/>
        <w:spacing w:after="0" w:line="241"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implementation, amortization of deferred implementation costs and other costs associated with the implementation of an ERP system.</w:t>
      </w:r>
    </w:p>
    <w:p>
      <w:pPr>
        <w:spacing w:after="0" w:line="1" w:lineRule="exact"/>
        <w:rPr>
          <w:rFonts w:ascii="Arial" w:cs="Arial" w:eastAsia="Arial" w:hAnsi="Arial"/>
          <w:sz w:val="18"/>
          <w:szCs w:val="18"/>
          <w:color w:val="auto"/>
        </w:rPr>
      </w:pPr>
    </w:p>
    <w:p>
      <w:pPr>
        <w:ind w:left="980" w:hanging="486"/>
        <w:spacing w:after="0" w:line="23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fees associated with the Capped Call Transactions purchases.</w:t>
      </w:r>
    </w:p>
    <w:p>
      <w:pPr>
        <w:ind w:left="980" w:hanging="486"/>
        <w:spacing w:after="0" w:line="23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advisory fees related to activism engagement.</w:t>
      </w:r>
    </w:p>
    <w:p>
      <w:pPr>
        <w:ind w:left="980" w:right="600" w:hanging="486"/>
        <w:spacing w:after="0" w:line="24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true up to transition costs related to the organization changes designed to support growth, including several changes in organizational structure designed to enhance capabilities and support long-term growth objectives.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8" w:name="page29"/>
    <w:bookmarkEnd w:id="28"/>
    <w:p>
      <w:pPr>
        <w:ind w:right="20"/>
        <w:spacing w:after="0" w:line="260" w:lineRule="auto"/>
        <w:rPr>
          <w:sz w:val="20"/>
          <w:szCs w:val="20"/>
          <w:color w:val="auto"/>
        </w:rPr>
      </w:pPr>
      <w:r>
        <w:rPr>
          <w:rFonts w:ascii="Arial" w:cs="Arial" w:eastAsia="Arial" w:hAnsi="Arial"/>
          <w:sz w:val="18"/>
          <w:szCs w:val="18"/>
          <w:color w:val="auto"/>
        </w:rPr>
        <w:t>The following table provides a reconciliation of Adjusted Gross Profit to Gross Profit, the most directly comparable financial measure presented in accordance with U.S. GAAP: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jc w:val="right"/>
              <w:ind w:right="580"/>
              <w:spacing w:after="0" w:line="196" w:lineRule="exact"/>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66,293</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44,545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176,297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140,324</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11,767</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5,159</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33,106</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14,208</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2,579</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2,450</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8,696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4,789</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6"/>
        </w:trPr>
        <w:tc>
          <w:tcPr>
            <w:tcW w:w="584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182" w:lineRule="exact"/>
              <w:rPr>
                <w:sz w:val="20"/>
                <w:szCs w:val="20"/>
                <w:color w:val="auto"/>
              </w:rPr>
            </w:pPr>
            <w:r>
              <w:rPr>
                <w:rFonts w:ascii="Arial" w:cs="Arial" w:eastAsia="Arial" w:hAnsi="Arial"/>
                <w:sz w:val="18"/>
                <w:szCs w:val="18"/>
                <w:b w:val="1"/>
                <w:bCs w:val="1"/>
                <w:color w:val="auto"/>
              </w:rPr>
              <w:t>80,639</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line="182" w:lineRule="exact"/>
              <w:rPr>
                <w:sz w:val="20"/>
                <w:szCs w:val="20"/>
                <w:color w:val="auto"/>
              </w:rPr>
            </w:pPr>
            <w:r>
              <w:rPr>
                <w:rFonts w:ascii="Arial" w:cs="Arial" w:eastAsia="Arial" w:hAnsi="Arial"/>
                <w:sz w:val="18"/>
                <w:szCs w:val="18"/>
                <w:b w:val="1"/>
                <w:bCs w:val="1"/>
                <w:color w:val="auto"/>
              </w:rPr>
              <w:t>52,154</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182" w:lineRule="exact"/>
              <w:rPr>
                <w:sz w:val="20"/>
                <w:szCs w:val="20"/>
                <w:color w:val="auto"/>
              </w:rPr>
            </w:pPr>
            <w:r>
              <w:rPr>
                <w:rFonts w:ascii="Arial" w:cs="Arial" w:eastAsia="Arial" w:hAnsi="Arial"/>
                <w:sz w:val="18"/>
                <w:szCs w:val="18"/>
                <w:b w:val="1"/>
                <w:bCs w:val="1"/>
                <w:color w:val="auto"/>
              </w:rPr>
              <w:t>218,099</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159,321</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Adjusted Gross Profit as a % of Net Sales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37.1%</w:t>
            </w:r>
          </w:p>
        </w:tc>
      </w:tr>
    </w:tbl>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provides a reconciliation of Adjusted SG&amp;A Expenses to SG&amp;A Expenses, the most directly comparable financial measure presented in accordance with U.S. GAAP: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8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jc w:val="right"/>
              <w:ind w:right="580"/>
              <w:spacing w:after="0" w:line="196" w:lineRule="exact"/>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SG&amp;A expenses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73,371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60,449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221,638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190,241</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4,452</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3,387</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12,043</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10,216</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5,511</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5,371</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16,256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15,620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Loss on disposal of equipment</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124</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688</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Enterprise Resource Planning (a)</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1,937</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1,550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4,946</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Capped Call Transactions fees (b)</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113</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Activism engagement (c)</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5,548</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8,177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Organization changes (d)</w:t>
            </w:r>
          </w:p>
        </w:tc>
        <w:tc>
          <w:tcPr>
            <w:tcW w:w="2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734</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w:t>
            </w: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Adjusted SG&amp;A Expenses</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57,422</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48,896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b w:val="1"/>
                <w:bCs w:val="1"/>
                <w:color w:val="auto"/>
              </w:rPr>
              <w:t>182,878</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b w:val="1"/>
                <w:bCs w:val="1"/>
                <w:color w:val="auto"/>
              </w:rPr>
              <w:t>158,522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Adjusted SG&amp;A Expenses as a % of Net Sales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36.9%</w:t>
            </w:r>
          </w:p>
        </w:tc>
      </w:tr>
    </w:tbl>
    <w:p>
      <w:pPr>
        <w:spacing w:after="0" w:line="163" w:lineRule="exact"/>
        <w:rPr>
          <w:sz w:val="20"/>
          <w:szCs w:val="20"/>
          <w:color w:val="auto"/>
        </w:rPr>
      </w:pPr>
    </w:p>
    <w:p>
      <w:pPr>
        <w:ind w:left="980" w:hanging="486"/>
        <w:spacing w:after="0" w:line="24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implementation, amortization of deferred implementation costs and other costs associated with the implementation of an ERP system.</w:t>
      </w:r>
    </w:p>
    <w:p>
      <w:pPr>
        <w:spacing w:after="0" w:line="1" w:lineRule="exact"/>
        <w:rPr>
          <w:rFonts w:ascii="Arial" w:cs="Arial" w:eastAsia="Arial" w:hAnsi="Arial"/>
          <w:sz w:val="18"/>
          <w:szCs w:val="18"/>
          <w:color w:val="auto"/>
        </w:rPr>
      </w:pPr>
    </w:p>
    <w:p>
      <w:pPr>
        <w:ind w:left="980" w:hanging="486"/>
        <w:spacing w:after="0" w:line="23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associated with the Capped Call Transactions purchases.</w:t>
      </w:r>
    </w:p>
    <w:p>
      <w:pPr>
        <w:ind w:left="980" w:hanging="486"/>
        <w:spacing w:after="0" w:line="23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advisory fees related to activism engagement.</w:t>
      </w:r>
    </w:p>
    <w:p>
      <w:pPr>
        <w:ind w:left="980" w:hanging="486"/>
        <w:spacing w:after="0" w:line="24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true up to transition costs related to the organization changes designed to support growth, including several changes in organizational structure designed to enhance capabilities and support long-term growth objectives.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meet our capital needs, we issued approximately $402.5 million in convertible notes in March 2023 (the “Convertible Notes”), used $66.2 million of the proceeds to enter into capped call transactions, and used $11.0 million of the proceeds on debt issuance related costs. Further, on March 13, 2023, in connection with the proposed offering of the Convertible Notes, the Company, notified City National Bank, of Freshpet's intent to terminate the Credit Agreement, and such termination became effective as of March 15, 2023 (the "Termination Date"). The Company had no borrowings outstanding under the Credit Agreement as of the date of the Termination Date.</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expect to make future capital expenditures in connection with the completion of our planned development of Freshpet Kitchens Ennis Phase 1, Ennis Phase 2, Ennis Chicken Processing and Freshpet Kitchens South. During the nine months ended September 30, 2023, we spent approximately $162.0 million of capital to meet our capacity needs as well as recurring capital expenditures. We expect to spend an additional $78.0 million in the remainder of fiscal 2023 for all production projects and also new and replaced fridges, maintenance capex and other expenses.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to rely on our current and future cash flow from operations, may issue additional debt, and/or raise capital through our access to capital markets, if appropriate. Our ability to obtain additional funding will be subject to various factors, including general economic and market conditions, our operating performance, the market’s perception of our growth potential, lender sentiment and our ability to incur additional debt in compliance with other contractual restrictions.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make future minimum interest payments on the Convertible Notes, to refinance any indebtedness and to fund any necessary expenditures for our growth will depend on our ability to generate cash in the future. If our business does not achieve the levels of profitability or generate the amount of cash that we anticipate or if we expand faster than anticipated, we may need to seek additional debt or equity financing to operate and expand our business. Future third-party financing may not be available on favorable terms or at all.</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primary cash needs, in addition to our plant expansions, are for purchasing ingredients, operating expenses, marketing expenses and capital expenditures to procure Freshpet Fridges. We believe that cash and cash equivalents, short-term investments, expected cash flow from operations, amounts raised through the issuance of the Convertible Notes and our ability to access the capital markets, if appropriate, are adequate to fund our debt requirements, operating and finance lease obligations, capital expenditures and working capital obligations for the foreseeable future. We believe our sources of liquidity and capital will be sufficient to finance our continued operations, growth strategy and additional expenses we expect to incur for at least the next twelve months. However, our ability to continue to meet these requirements and obligations will depend on, among other things, our ability to achieve anticipated levels of revenue and cash flow from operations and our ability to manage costs and working capital successfully. Additionally, our cash flow generation ability is subject to general economic factors, including but not limited to increasing interest rates and inflation, financial, competitive, legislative and regulatory factors and other factors that are beyond our control. We cannot assure you that our business will generate cash flow from operations in an amount sufficient to enable us to fund our liquidity needs. Expanding certain of our Freshpet Kitchens primarily comprises our material future cash requirements. However, our capital requirements, including our cash requirements, may vary materially from those currently planned if, for example, our revenues do not reach expected levels, or we have to incur unforeseen capital expenditures and make investments to maintain our competitive position. If this is the case, we may seek alternative financing, such as selling additional debt or equity securities, and we cannot assure you that we will be able to do so on favorable terms, if at all. Moreover, if we issue new debt securities, the debt holders would have rights senior to common stockholders to make claims on our assets, and the terms of any debt could restrict our operations, including our ability to pay dividends on our common stock. If we issue additional equity or if the Convertible Notes are converted to common shares, existing stockholders may experience dilution, and such new securities could have rights senior to those of our common stock. These factors may make the timing, amount, terms and conditions of additional financing unattractive. Our inability to raise capital could impede our growth or otherwise require us to forego growth opportunities and could materially adversely affect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The following table sets forth, for the periods indicated, our working capital:</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9"/>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196"/>
        </w:trPr>
        <w:tc>
          <w:tcPr>
            <w:tcW w:w="8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(Dollars in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4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338,107</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132,735</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12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54,415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57,572</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59,063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58,290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9,778</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3,590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1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(55,088)</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(39,377)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(33,016)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20" w:type="dxa"/>
            <w:vAlign w:val="bottom"/>
          </w:tcPr>
          <w:p>
            <w:pPr>
              <w:spacing w:after="0"/>
              <w:rPr>
                <w:sz w:val="17"/>
                <w:szCs w:val="17"/>
                <w:color w:val="auto"/>
              </w:rPr>
            </w:pPr>
          </w:p>
        </w:tc>
        <w:tc>
          <w:tcPr>
            <w:tcW w:w="1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(1,510)</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finance lease liabilities</w:t>
            </w:r>
          </w:p>
        </w:tc>
        <w:tc>
          <w:tcPr>
            <w:tcW w:w="1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Total Working Capital</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378,617</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172,351</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Working capital consists of current assets net of current liabilities. Working capital increased $206.3 million to $378.6 million as of September 30, 2023 compared with working capital of $172.4 million as of December 31, 2022. The increase was primarily a result of an increase of $205.4 million in cash and cash equivalents primarily resulting from the sale of the Convertible Notes as we fund our capital expansion plan, an increase in inventory of $ 0.8 million, and a decrease in accounts payable of $14.2 million as a result of timing and capital expenditures of approximately $21.5 million related to our capital expansion plan. The increase was partially offset by a decrease in accounts receivable of $3.2 million, a decrease in prepaid expenses of $1.0 million, an increase in accrued expenses of $6.4 million due to timing and capital expenditures of approximately $1.5 million related to our capital expansion plan, and an increase in current finance lease liabilities of $2.0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normally carry three to four weeks of finished goods inventory and less than 30 days of accounts receivable.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our capital resources consisted primarily of $338.1 million of cash and cash equivalents on hand.</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expect to fund our ongoing operations and obligations with cash and cash equivalents, short-term investments, and cash flow from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31" w:name="page32"/>
    <w:bookmarkEnd w:id="31"/>
    <w:p>
      <w:pPr>
        <w:spacing w:after="0" w:line="260" w:lineRule="auto"/>
        <w:rPr>
          <w:sz w:val="20"/>
          <w:szCs w:val="20"/>
          <w:color w:val="auto"/>
        </w:rPr>
      </w:pPr>
      <w:r>
        <w:rPr>
          <w:rFonts w:ascii="Arial" w:cs="Arial" w:eastAsia="Arial" w:hAnsi="Arial"/>
          <w:sz w:val="18"/>
          <w:szCs w:val="18"/>
          <w:color w:val="auto"/>
        </w:rPr>
        <w:t>The following table sets forth, for the periods indicated, our beginning balance of cash, net cash flows used in operating, investing and provided by financing activities and our ending balance of cash:</w:t>
      </w:r>
    </w:p>
    <w:p>
      <w:pPr>
        <w:sectPr>
          <w:pgSz w:w="11900" w:h="16838" w:orient="portrait"/>
          <w:cols w:equalWidth="0" w:num="1">
            <w:col w:w="11240"/>
          </w:cols>
          <w:pgMar w:left="320" w:top="5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Cash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Cash at the end of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(used in) Operating Activities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tbl>
      <w:tblPr>
        <w:tblLayout w:type="fixed"/>
        <w:tblInd w:w="0" w:type="dxa"/>
        <w:tblCellMar>
          <w:top w:w="0" w:type="dxa"/>
          <w:left w:w="0" w:type="dxa"/>
          <w:bottom w:w="0" w:type="dxa"/>
          <w:right w:w="0" w:type="dxa"/>
        </w:tblCellMar>
      </w:tblPr>
      <w:tr>
        <w:trPr>
          <w:trHeight w:val="196"/>
        </w:trPr>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r>
      <w:tr>
        <w:trPr>
          <w:trHeight w:val="196"/>
        </w:trPr>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(Dollars in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4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7"/>
                <w:szCs w:val="17"/>
                <w:color w:val="auto"/>
              </w:rPr>
            </w:pPr>
          </w:p>
        </w:tc>
      </w:tr>
      <w:tr>
        <w:trPr>
          <w:trHeight w:val="183"/>
        </w:trPr>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132,735</w:t>
            </w:r>
          </w:p>
        </w:tc>
        <w:tc>
          <w:tcPr>
            <w:tcW w:w="100" w:type="dxa"/>
            <w:vAlign w:val="bottom"/>
          </w:tcPr>
          <w:p>
            <w:pPr>
              <w:spacing w:after="0"/>
              <w:rPr>
                <w:sz w:val="15"/>
                <w:szCs w:val="15"/>
                <w:color w:val="auto"/>
              </w:rPr>
            </w:pPr>
          </w:p>
        </w:tc>
        <w:tc>
          <w:tcPr>
            <w:tcW w:w="40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72,788</w:t>
            </w:r>
          </w:p>
        </w:tc>
        <w:tc>
          <w:tcPr>
            <w:tcW w:w="60" w:type="dxa"/>
            <w:vAlign w:val="bottom"/>
          </w:tcPr>
          <w:p>
            <w:pPr>
              <w:spacing w:after="0"/>
              <w:rPr>
                <w:sz w:val="15"/>
                <w:szCs w:val="15"/>
                <w:color w:val="auto"/>
              </w:rPr>
            </w:pPr>
          </w:p>
        </w:tc>
      </w:tr>
      <w:tr>
        <w:trPr>
          <w:trHeight w:val="203"/>
        </w:trPr>
        <w:tc>
          <w:tcPr>
            <w:tcW w:w="32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38,968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(53,680)</w:t>
            </w:r>
          </w:p>
        </w:tc>
      </w:tr>
      <w:tr>
        <w:trPr>
          <w:trHeight w:val="203"/>
        </w:trPr>
        <w:tc>
          <w:tcPr>
            <w:tcW w:w="320" w:type="dxa"/>
            <w:vAlign w:val="bottom"/>
          </w:tcPr>
          <w:p>
            <w:pPr>
              <w:spacing w:after="0"/>
              <w:rPr>
                <w:sz w:val="17"/>
                <w:szCs w:val="17"/>
                <w:color w:val="auto"/>
              </w:rPr>
            </w:pPr>
          </w:p>
        </w:tc>
        <w:tc>
          <w:tcPr>
            <w:tcW w:w="1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(161,642)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(190,570)</w:t>
            </w:r>
          </w:p>
        </w:tc>
      </w:tr>
      <w:tr>
        <w:trPr>
          <w:trHeight w:val="215"/>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328,046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411,772</w:t>
            </w:r>
          </w:p>
        </w:tc>
      </w:tr>
      <w:tr>
        <w:trPr>
          <w:trHeight w:val="196"/>
        </w:trPr>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338,107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240,310</w:t>
            </w:r>
          </w:p>
        </w:tc>
        <w:tc>
          <w:tcPr>
            <w:tcW w:w="60" w:type="dxa"/>
            <w:vAlign w:val="bottom"/>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75" w:lineRule="exact"/>
        <w:rPr>
          <w:sz w:val="20"/>
          <w:szCs w:val="20"/>
          <w:color w:val="auto"/>
        </w:rPr>
      </w:pPr>
    </w:p>
    <w:p>
      <w:pPr>
        <w:sectPr>
          <w:pgSz w:w="11900" w:h="16838" w:orient="portrait"/>
          <w:cols w:equalWidth="0" w:num="2">
            <w:col w:w="7280" w:space="720"/>
            <w:col w:w="3240"/>
          </w:cols>
          <w:pgMar w:left="320" w:top="586" w:right="339" w:bottom="1440" w:gutter="0" w:footer="0" w:header="0"/>
          <w:type w:val="continuous"/>
        </w:sectPr>
      </w:pPr>
    </w:p>
    <w:p>
      <w:pPr>
        <w:spacing w:after="0" w:line="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provided by operating activities consists primarily of net loss adjusted for certain non-cash items (i.e., provision for loss on receivables, loss/(gain) on disposal of equipment, change in reserve for inventory obsolescence, depreciation and amortization, amortization of deferred financing costs and loan discount, and share-based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of $39.0 million for the nine months ended September 30, 2023, was primarily attributed to:</w:t>
      </w:r>
    </w:p>
    <w:p>
      <w:pPr>
        <w:spacing w:after="0" w:line="8" w:lineRule="exact"/>
        <w:rPr>
          <w:sz w:val="20"/>
          <w:szCs w:val="20"/>
          <w:color w:val="auto"/>
        </w:rPr>
      </w:pPr>
    </w:p>
    <w:p>
      <w:pPr>
        <w:jc w:val="both"/>
        <w:ind w:left="660" w:hanging="328"/>
        <w:spacing w:after="0" w:line="23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$28.8 million of net income, adjusted for reconciling non-cash items, which excludes $77.7 million related to $45.4 million of depreciation and amortization, $25.0 million of share-based compensation including amortization of warrants, $3.5 million of write-off and amortization of deferred financing costs and loan discount, $1.9 million of loss on equity method investment, $1.2 million of change in operating lease right of use asset, and $0.7 million of loss on disposal of equipment.</w:t>
      </w:r>
    </w:p>
    <w:p>
      <w:pPr>
        <w:spacing w:after="0" w:line="24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$10.2 million increase due to changes in operating assets and liabilities. The increase was primarily due to the change in accounts receivable, accounts payable, and accrued expenses, primarily offset by the change in inventories, prepaid expenses and other current assets, other assets and operating lease liability.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of $53.7 million for the nine months ended September 30, 2022, was primarily attributed to:</w:t>
      </w:r>
    </w:p>
    <w:p>
      <w:pPr>
        <w:spacing w:after="0" w:line="8" w:lineRule="exact"/>
        <w:rPr>
          <w:sz w:val="20"/>
          <w:szCs w:val="20"/>
          <w:color w:val="auto"/>
        </w:rPr>
      </w:pPr>
    </w:p>
    <w:p>
      <w:pPr>
        <w:jc w:val="both"/>
        <w:ind w:left="660" w:hanging="328"/>
        <w:spacing w:after="0" w:line="23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million of net loss, adjusted for reconciling non-cash items, which excludes $53.1 million primarily related to $24.4 million of depreciation and amortization, $20.4 million of share-based compensation including amortization of warrants, $3.5 million of inventory obsolescence, $3.0 million of loss on investments in equity method investment, and $1.0 million of change in operating lease right of use asset.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was offset by:</w:t>
      </w:r>
    </w:p>
    <w:p>
      <w:pPr>
        <w:spacing w:after="0" w:line="8" w:lineRule="exact"/>
        <w:rPr>
          <w:sz w:val="20"/>
          <w:szCs w:val="20"/>
          <w:color w:val="auto"/>
        </w:rPr>
      </w:pPr>
    </w:p>
    <w:p>
      <w:pPr>
        <w:ind w:left="66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$50.2 million decrease due to changes in operating assets and liabilities. The decrease was primarily due to the change in accounts receivable, inventories and other assets, primarily offset by the change in accrued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$161.6 million for the nine months ended September 30, 2023, was primarily attributed to:</w:t>
      </w:r>
    </w:p>
    <w:p>
      <w:pPr>
        <w:spacing w:after="0" w:line="8" w:lineRule="exact"/>
        <w:rPr>
          <w:sz w:val="20"/>
          <w:szCs w:val="20"/>
          <w:color w:val="auto"/>
        </w:rPr>
      </w:pPr>
    </w:p>
    <w:p>
      <w:pPr>
        <w:ind w:left="660" w:hanging="328"/>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$161.6 million of capital expenditures related to Freshpet Kitchens, plant recurring capital expenditures, expenditures relating to investment in fridges, and other capital spend.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$113.4 million purchase of short-term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$113.4 million of proceeds from maturities of short-term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$190.6 million for the nine months ended September 30, 2022, was primarily attributed to:</w:t>
      </w:r>
    </w:p>
    <w:p>
      <w:pPr>
        <w:spacing w:after="0" w:line="8" w:lineRule="exact"/>
        <w:rPr>
          <w:sz w:val="20"/>
          <w:szCs w:val="20"/>
          <w:color w:val="auto"/>
        </w:rPr>
      </w:pPr>
    </w:p>
    <w:p>
      <w:pPr>
        <w:ind w:left="660" w:hanging="328"/>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$167.4 million of capital expenditures related to Freshpet Kitchens, plant recurring capital expenditures, expenditures relating to investment in fridges, and other capital spend.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$19.8 million purchase of short-term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$3.3 million investment in equity method investment.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of $328.0 million for the nine months ended September 30, 2023, was primarily attributed to:</w:t>
      </w:r>
    </w:p>
    <w:p>
      <w:pPr>
        <w:spacing w:after="0" w:line="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$393.5 million net proceeds from Convertible Notes.</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23"/>
        </w:numPr>
        <w:rPr>
          <w:rFonts w:ascii="Arial" w:cs="Arial" w:eastAsia="Arial" w:hAnsi="Arial"/>
          <w:sz w:val="31"/>
          <w:szCs w:val="31"/>
          <w:color w:val="auto"/>
          <w:vertAlign w:val="subscript"/>
        </w:rPr>
      </w:pPr>
      <w:r>
        <w:rPr>
          <w:rFonts w:ascii="Arial" w:cs="Arial" w:eastAsia="Arial" w:hAnsi="Arial"/>
          <w:sz w:val="15"/>
          <w:szCs w:val="15"/>
          <w:color w:val="auto"/>
        </w:rPr>
        <w:t>$4.2 million cash proceeds from the exercise of stock options.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$66.2 million for the purchase of a capped call option.</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 million for debt issuance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$0.9 million for tax withholdings related to net share settlements of restricted stock units.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$0.5 million for principal payments under finance lease obligations.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of $411.8 million for the nine months ended September 30, 2022, was primarily attributed to:</w:t>
      </w:r>
    </w:p>
    <w:p>
      <w:pPr>
        <w:spacing w:after="0" w:line="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$337.5 million of proceeds from common shares issued in a primary offering, net of issuance cost.</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$78.0 million of proceeds from borrowings under our Credit Facility.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$0.3 million cash proceeds from the exercise of stock options.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offset by:</w:t>
      </w:r>
    </w:p>
    <w:p>
      <w:pPr>
        <w:spacing w:after="0" w:line="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 million for repayment of borrowings under Credit Facility.</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 million for tax withholdings related to net share settlements of restricted stock units.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a discussion of our material indebtedness, see Note 5 to our (unaudited) condensed consolidated financial statements included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were no material changes to our commitments under contractual obligations, as disclosed in our Annual Report, except as noted in Note 8 and 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accounting principles generally accepted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revenue and expenses incurred during the reported periods. On an ongoing basis, we evaluate our estimates and judgments, including those related to accrued expenses and share-based compensation.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Changes in estimates are reflected in reported results for the period in which they become known. Actual results may differ from these estimates under different assumptions or conditions.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material changes to our critical accounting estimates as compared to the critical accounting policies and estimates described in our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1 of our (unaudited) condensed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Effective in Future Years: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(FASB). ASUs not listed herein were assessed and determined to be either not applicable or are expected to have minimal impact to our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4" w:name="page35"/>
    <w:bookmarkEnd w:id="34"/>
    <w:p>
      <w:pPr>
        <w:ind w:right="5460"/>
        <w:spacing w:after="0" w:line="475"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Risks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sometimes exposed to market risks from changes in interest rates on debt, changes in commodity prices, and changes in fair value of short-term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and Inflation Risk</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purchase certain products and services that are affected by commodity prices and are, therefore, subject to price volatility caused by weather, market conditions, including inflation, and other factors which are not considered predictable or within our control. In many cases, we believe we will be able to address material commodity cost increases by either increasing prices or reducing operating expenses. However, increases in commodity prices, without adjustments to pricing or reduction to operating expenses, could increase our operating costs as a percentage of our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Fluctuations in the currencies of countries where the Company operates outside the U.S. may have a significant impact on financial results. The Company is exposed to movements in the British pound sterling and Euro. The Statements of Financial Position of non-U.S. business units are translated into U.S. dollars using period-end exchange rates for assets and liabilities and average exchange rates for revenues and expenses. The percentage of our consolidated revenue for the three and nine months ended September 30, 2023 recognized in Europe was approximately 1%.</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may, from time to time, enter into forward exchange contracts to reduce the Company’s exposure to foreign currency fluctuations of certain assets and liabilities denominated in foreign currencies. Historically, the foreign currency forward contracts have not been designated as hedges and, accordingly, any changes in their fair value are recognized on the Consolidated Statements of Operations and Comprehensive Income (Loss) in Other income (expenses), net, and carried at their fair value in the Consolidated Balance Sheet with gains reported in prepaid expenses and other current assets and losses reported in accrued expenses. As of September 30, 2023, there were no forward contracts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as of such date our disclosure controls and procedures were effective.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transitioned to a new enterprise resource planning (ERP) system during the first quarter of 2022. Implementation, integration and transition efforts are continuing. In connection with the implementation, integration and transition, and resulting business process changes, we continue to review and enhance the design and documentation of our internal control over financial reporting processes to maintain effective controls over our financial reporting following the completion of the implementation, integration and transition. To date, the implementation, integration and transition have not materially affected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currently involved in various claims and legal actions that arise in the ordinary course of our business, including claims resulting from employment related matters. None of these claims or proceedings are expected to have a material adverse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 See Note 13 — Commitments and Contingencies for additional discussion of pending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Except as set forth below, there have been no material changes to the risk factors previously reported under Part I, Item 1A. "Risk Factors" in our Annual Report, as supplemented by the risk factors set forth in Part II, Item 1A. "Risk Factors" in our Quarterly Reports on Form 10-Q for the quarters ended March 31, 2023 and June 30, 2023. Additional risks and uncertainties not currently known to us or that we currently deem to be immaterial may materially affect our business, financial condition and/or operating results.</w:t>
      </w:r>
    </w:p>
    <w:p>
      <w:pPr>
        <w:spacing w:after="0" w:line="16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Shareholder activism could cause us to incur significant expense, disrupt our business, result in a proxy contest or litigation and impact our stock price.</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value constructive input from investors and regularly engage in dialogue with our shareholders regarding strategy and performance. Our Board and management team are committed to acting in the best interests of all of our shareholders.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Responding to actions by activist shareholders could be costly and time-consuming, disrupt our operations and divert the attention of our Board, senior management and employees. We have been subject to shareholder activism in the past, and may be subject to it in the future, which could result in substantial costs and divert management's and our Board's attention and resources from our business.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may be required to incur significant fees and other expenses related to activist shareholder matters, including for third-party advisors. We may be subjected to a proxy contest or to litigation by activist investors and our stock price could be subject to significant fluctuation, or increased volatility, or otherwise be adversely affected by the events, risks and uncertainties of any shareholder activism. Even if we are successful in defending any such proxy contest or litigation by an activist shareholder, our business could be adversely affected by such proxy contest or litigation due to perceived uncertainties as to the future direction of the business, which may result in the loss of potential acquisitions, collaborations or other strategic opportunities.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the fiscal quarter ended September 30, 2023, none of our directors or officers informed us of the adoption or termination of a "Rule 10b5-1 trading arrangement" or "non-Rule 10b5-1 trading arrangement," as those terms are defined in Regulation S-K, Item 408.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994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rPr>
          <w:sz w:val="20"/>
          <w:szCs w:val="20"/>
          <w:color w:val="auto"/>
        </w:rPr>
      </w:pPr>
      <w:r>
        <w:rPr>
          <w:rFonts w:ascii="Arial" w:cs="Arial" w:eastAsia="Arial" w:hAnsi="Arial"/>
          <w:sz w:val="18"/>
          <w:szCs w:val="18"/>
          <w:color w:val="auto"/>
        </w:rPr>
        <w:t>32.1*</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EX-101.INS*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EX-101.SCH*</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EX-101.CAL*</w:t>
      </w:r>
    </w:p>
    <w:p>
      <w:pPr>
        <w:spacing w:after="0" w:line="234" w:lineRule="auto"/>
        <w:rPr>
          <w:sz w:val="20"/>
          <w:szCs w:val="20"/>
          <w:color w:val="auto"/>
        </w:rPr>
      </w:pPr>
      <w:r>
        <w:rPr>
          <w:rFonts w:ascii="Arial" w:cs="Arial" w:eastAsia="Arial" w:hAnsi="Arial"/>
          <w:sz w:val="18"/>
          <w:szCs w:val="18"/>
          <w:color w:val="auto"/>
        </w:rPr>
        <w:t>EX-101.LAB*</w:t>
      </w:r>
    </w:p>
    <w:p>
      <w:pPr>
        <w:spacing w:after="0" w:line="235" w:lineRule="auto"/>
        <w:rPr>
          <w:sz w:val="20"/>
          <w:szCs w:val="20"/>
          <w:color w:val="auto"/>
        </w:rPr>
      </w:pPr>
      <w:r>
        <w:rPr>
          <w:rFonts w:ascii="Arial" w:cs="Arial" w:eastAsia="Arial" w:hAnsi="Arial"/>
          <w:sz w:val="18"/>
          <w:szCs w:val="18"/>
          <w:color w:val="auto"/>
        </w:rPr>
        <w:t>EX-101.PRE*</w:t>
      </w:r>
    </w:p>
    <w:p>
      <w:pPr>
        <w:spacing w:after="0" w:line="235" w:lineRule="auto"/>
        <w:rPr>
          <w:sz w:val="20"/>
          <w:szCs w:val="20"/>
          <w:color w:val="auto"/>
        </w:rPr>
      </w:pPr>
      <w:r>
        <w:rPr>
          <w:rFonts w:ascii="Arial" w:cs="Arial" w:eastAsia="Arial" w:hAnsi="Arial"/>
          <w:sz w:val="18"/>
          <w:szCs w:val="18"/>
          <w:color w:val="auto"/>
        </w:rPr>
        <w:t>EX-101.DEF*</w:t>
      </w:r>
    </w:p>
    <w:p>
      <w:pPr>
        <w:spacing w:after="0"/>
        <w:rPr>
          <w:sz w:val="20"/>
          <w:szCs w:val="20"/>
          <w:color w:val="auto"/>
        </w:rPr>
      </w:pPr>
      <w:r>
        <w:rPr>
          <w:rFonts w:ascii="Arial" w:cs="Arial" w:eastAsia="Arial" w:hAnsi="Arial"/>
          <w:sz w:val="18"/>
          <w:szCs w:val="18"/>
          <w:color w:val="auto"/>
        </w:rPr>
        <w:t>EX-104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56407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11" w:lineRule="exact"/>
        <w:rPr>
          <w:sz w:val="20"/>
          <w:szCs w:val="20"/>
          <w:color w:val="auto"/>
        </w:rPr>
      </w:pPr>
    </w:p>
    <w:p>
      <w:pPr>
        <w:ind w:right="220"/>
        <w:spacing w:after="0" w:line="234" w:lineRule="auto"/>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Cooperation Agreement, by and between Freshpet, Inc. and JANA Partners LLC, dated August 21, 2023</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(incorporated by reference to Exhibit10.1 to the Current Report on Form 8-K filed with the SEC on August 21,</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2023)</w:t>
        </w:r>
      </w:hyperlink>
    </w:p>
    <w:p>
      <w:pPr>
        <w:spacing w:after="0" w:line="237" w:lineRule="auto"/>
        <w:rPr>
          <w:sz w:val="20"/>
          <w:szCs w:val="20"/>
          <w:color w:val="auto"/>
        </w:rPr>
      </w:pPr>
      <w:r>
        <w:rPr>
          <w:rFonts w:ascii="Arial" w:cs="Arial" w:eastAsia="Arial" w:hAnsi="Arial"/>
          <w:sz w:val="18"/>
          <w:szCs w:val="18"/>
          <w:u w:val="single" w:color="auto"/>
          <w:color w:val="0000EE"/>
        </w:rPr>
        <w:t>Certification of Chief Executive Officer pursuant to Section 302 of the Sarbanes-Oxley Act of 2002</w:t>
      </w:r>
    </w:p>
    <w:p>
      <w:pPr>
        <w:spacing w:after="0" w:line="235" w:lineRule="auto"/>
        <w:rPr>
          <w:sz w:val="20"/>
          <w:szCs w:val="20"/>
          <w:color w:val="auto"/>
        </w:rPr>
      </w:pPr>
      <w:r>
        <w:rPr>
          <w:rFonts w:ascii="Arial" w:cs="Arial" w:eastAsia="Arial" w:hAnsi="Arial"/>
          <w:sz w:val="18"/>
          <w:szCs w:val="18"/>
          <w:u w:val="single" w:color="auto"/>
          <w:color w:val="0000EE"/>
        </w:rPr>
        <w:t>Certification of Chief Financial Officer pursuant to Section 302 of the Sarbanes-Oxley Act of 2002</w:t>
      </w:r>
    </w:p>
    <w:p>
      <w:pPr>
        <w:spacing w:after="0" w:line="234" w:lineRule="auto"/>
        <w:rPr>
          <w:sz w:val="20"/>
          <w:szCs w:val="20"/>
          <w:color w:val="auto"/>
        </w:rPr>
      </w:pPr>
      <w:r>
        <w:rPr>
          <w:rFonts w:ascii="Arial" w:cs="Arial" w:eastAsia="Arial" w:hAnsi="Arial"/>
          <w:sz w:val="18"/>
          <w:szCs w:val="18"/>
          <w:u w:val="single" w:color="auto"/>
          <w:color w:val="0000EE"/>
        </w:rPr>
        <w:t>Certifications of Chief Executive Officer and Chief Financial Officer pursuant to Section 906 of the Sarbanes-</w:t>
      </w:r>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Oxley Act of 2002</w:t>
      </w:r>
    </w:p>
    <w:p>
      <w:pPr>
        <w:spacing w:after="0" w:line="186" w:lineRule="exact"/>
        <w:rPr>
          <w:rFonts w:ascii="Arial" w:cs="Arial" w:eastAsia="Arial" w:hAnsi="Arial"/>
          <w:sz w:val="18"/>
          <w:szCs w:val="18"/>
          <w:u w:val="single" w:color="auto"/>
          <w:color w:val="0000EE"/>
        </w:rPr>
      </w:pPr>
    </w:p>
    <w:p>
      <w:pPr>
        <w:spacing w:after="0" w:line="239"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 Inline XBRL Taxonomy Extension Schema Document</w:t>
      </w:r>
    </w:p>
    <w:p>
      <w:pPr>
        <w:spacing w:after="0" w:line="236" w:lineRule="auto"/>
        <w:rPr>
          <w:sz w:val="20"/>
          <w:szCs w:val="20"/>
          <w:color w:val="auto"/>
        </w:rPr>
      </w:pPr>
      <w:r>
        <w:rPr>
          <w:rFonts w:ascii="Arial" w:cs="Arial" w:eastAsia="Arial" w:hAnsi="Arial"/>
          <w:sz w:val="18"/>
          <w:szCs w:val="18"/>
          <w:color w:val="auto"/>
        </w:rPr>
        <w:t>Inline XBRL Taxonomy Extension Calculation Linkbase Document</w:t>
      </w:r>
    </w:p>
    <w:p>
      <w:pPr>
        <w:spacing w:after="0" w:line="234" w:lineRule="auto"/>
        <w:rPr>
          <w:sz w:val="20"/>
          <w:szCs w:val="20"/>
          <w:color w:val="auto"/>
        </w:rPr>
      </w:pPr>
      <w:r>
        <w:rPr>
          <w:rFonts w:ascii="Arial" w:cs="Arial" w:eastAsia="Arial" w:hAnsi="Arial"/>
          <w:sz w:val="18"/>
          <w:szCs w:val="18"/>
          <w:color w:val="auto"/>
        </w:rPr>
        <w:t>Inline XBRL Taxonomy Extension Label Linkbase Document</w:t>
      </w:r>
    </w:p>
    <w:p>
      <w:pPr>
        <w:spacing w:after="0" w:line="235" w:lineRule="auto"/>
        <w:rPr>
          <w:sz w:val="20"/>
          <w:szCs w:val="20"/>
          <w:color w:val="auto"/>
        </w:rPr>
      </w:pPr>
      <w:r>
        <w:rPr>
          <w:rFonts w:ascii="Arial" w:cs="Arial" w:eastAsia="Arial" w:hAnsi="Arial"/>
          <w:sz w:val="18"/>
          <w:szCs w:val="18"/>
          <w:color w:val="auto"/>
        </w:rPr>
        <w:t>Inline XBRL Taxonomy Extension Presentation Linkbase Document</w:t>
      </w:r>
    </w:p>
    <w:p>
      <w:pPr>
        <w:spacing w:after="0" w:line="235" w:lineRule="auto"/>
        <w:rPr>
          <w:sz w:val="20"/>
          <w:szCs w:val="20"/>
          <w:color w:val="auto"/>
        </w:rPr>
      </w:pPr>
      <w:r>
        <w:rPr>
          <w:rFonts w:ascii="Arial" w:cs="Arial" w:eastAsia="Arial" w:hAnsi="Arial"/>
          <w:sz w:val="18"/>
          <w:szCs w:val="18"/>
          <w:color w:val="auto"/>
        </w:rPr>
        <w:t>Inline XBRL Taxonomy Extension Definition Linkbase Document</w:t>
      </w:r>
    </w:p>
    <w:p>
      <w:pPr>
        <w:spacing w:after="0"/>
        <w:rPr>
          <w:sz w:val="20"/>
          <w:szCs w:val="20"/>
          <w:color w:val="auto"/>
        </w:rPr>
      </w:pPr>
      <w:r>
        <w:rPr>
          <w:rFonts w:ascii="Arial" w:cs="Arial" w:eastAsia="Arial" w:hAnsi="Arial"/>
          <w:sz w:val="18"/>
          <w:szCs w:val="18"/>
          <w:color w:val="auto"/>
        </w:rPr>
        <w:t>Inline XBRL Formatted Cover Page (formatted as Inline XBRL and contained in Exhibit 101).</w:t>
      </w:r>
    </w:p>
    <w:p>
      <w:pPr>
        <w:spacing w:after="0" w:line="200" w:lineRule="exact"/>
        <w:rPr>
          <w:rFonts w:ascii="Arial" w:cs="Arial" w:eastAsia="Arial" w:hAnsi="Arial"/>
          <w:sz w:val="18"/>
          <w:szCs w:val="18"/>
          <w:u w:val="single" w:color="auto"/>
          <w:color w:val="0000EE"/>
        </w:rPr>
      </w:pPr>
    </w:p>
    <w:p>
      <w:pPr>
        <w:spacing w:after="0" w:line="391" w:lineRule="exact"/>
        <w:rPr>
          <w:rFonts w:ascii="Arial" w:cs="Arial" w:eastAsia="Arial" w:hAnsi="Arial"/>
          <w:sz w:val="18"/>
          <w:szCs w:val="18"/>
          <w:u w:val="single" w:color="auto"/>
          <w:color w:val="0000EE"/>
        </w:rPr>
      </w:pPr>
    </w:p>
    <w:p>
      <w:pPr>
        <w:ind w:left="3160"/>
        <w:spacing w:after="0"/>
        <w:rPr>
          <w:sz w:val="20"/>
          <w:szCs w:val="20"/>
          <w:color w:val="auto"/>
        </w:rPr>
      </w:pPr>
      <w:r>
        <w:rPr>
          <w:rFonts w:ascii="Arial" w:cs="Arial" w:eastAsia="Arial" w:hAnsi="Arial"/>
          <w:sz w:val="18"/>
          <w:szCs w:val="18"/>
          <w:color w:val="auto"/>
        </w:rPr>
        <w:t>39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-1492885</wp:posOffset>
            </wp:positionH>
            <wp:positionV relativeFrom="paragraph">
              <wp:posOffset>73660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640" w:space="720"/>
            <w:col w:w="8880"/>
          </w:cols>
          <w:pgMar w:left="320" w:top="562"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7"/>
          <w:szCs w:val="17"/>
          <w:b w:val="1"/>
          <w:bCs w:val="1"/>
          <w:color w:val="auto"/>
        </w:rPr>
        <w:t>FRESHPET, INC.</w:t>
      </w:r>
    </w:p>
    <w:p>
      <w:pPr>
        <w:spacing w:after="0" w:line="208"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B. Cyr</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B. Cyr</w:t>
      </w:r>
    </w:p>
    <w:p>
      <w:pPr>
        <w:ind w:left="57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Todd Cunfer</w:t>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Todd Cunfer</w:t>
      </w:r>
    </w:p>
    <w:p>
      <w:pPr>
        <w:ind w:left="57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6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William B. Cyr, certify that:</w:t>
      </w:r>
    </w:p>
    <w:p>
      <w:pPr>
        <w:spacing w:after="0" w:line="19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Freshpet, Inc.;</w:t>
      </w:r>
    </w:p>
    <w:p>
      <w:pPr>
        <w:spacing w:after="0" w:line="198"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8"/>
          <w:szCs w:val="18"/>
          <w:color w:val="auto"/>
        </w:rPr>
      </w:pPr>
    </w:p>
    <w:p>
      <w:pPr>
        <w:jc w:val="both"/>
        <w:ind w:left="340" w:hanging="332"/>
        <w:spacing w:after="0" w:line="24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8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William B.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13773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William B. Cyr</w:t>
      </w: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Todd Cunfer, certify that:</w:t>
      </w:r>
    </w:p>
    <w:p>
      <w:pPr>
        <w:spacing w:after="0" w:line="19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Freshpet, Inc.;</w:t>
      </w:r>
    </w:p>
    <w:p>
      <w:pPr>
        <w:spacing w:after="0" w:line="198"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8"/>
          <w:szCs w:val="18"/>
          <w:color w:val="auto"/>
        </w:rPr>
      </w:pPr>
    </w:p>
    <w:p>
      <w:pPr>
        <w:jc w:val="both"/>
        <w:ind w:left="340" w:hanging="332"/>
        <w:spacing w:after="0" w:line="24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8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Todd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128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Todd Cunfer</w:t>
      </w: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connection with the filing of the Quarterly Report on Form 10-Q of Freshpet, Inc., a Delaware corporation (the “Company”), for the quarter ended September 30, 2023, as filed with the Securities and Exchange Commission on the date hereof (the “Report”), each of the undersigned officers of the Company certifies, pursuant to 18 U.S.C. § 1350, as adopted pursuant to § 906 of the Sarbanes-Oxley Act of 2002, that, to such officer’s knowledge:</w:t>
      </w:r>
    </w:p>
    <w:p>
      <w:pPr>
        <w:spacing w:after="0" w:line="17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80" w:right="20" w:hanging="324"/>
        <w:spacing w:after="0" w:line="26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William B.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1504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William B. Cyr</w:t>
      </w:r>
    </w:p>
    <w:p>
      <w:pPr>
        <w:ind w:left="5620"/>
        <w:spacing w:after="0"/>
        <w:rPr>
          <w:sz w:val="20"/>
          <w:szCs w:val="20"/>
          <w:color w:val="auto"/>
        </w:rPr>
      </w:pPr>
      <w:r>
        <w:rPr>
          <w:rFonts w:ascii="Arial" w:cs="Arial" w:eastAsia="Arial" w:hAnsi="Arial"/>
          <w:sz w:val="18"/>
          <w:szCs w:val="18"/>
          <w:color w:val="auto"/>
        </w:rPr>
        <w:t>Chief Executive Officer</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Todd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11239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Todd Cunfer</w:t>
      </w:r>
    </w:p>
    <w:p>
      <w:pPr>
        <w:ind w:left="5620"/>
        <w:spacing w:after="0"/>
        <w:rPr>
          <w:sz w:val="20"/>
          <w:szCs w:val="20"/>
          <w:color w:val="auto"/>
        </w:rPr>
      </w:pPr>
      <w:r>
        <w:rPr>
          <w:rFonts w:ascii="Arial" w:cs="Arial" w:eastAsia="Arial" w:hAnsi="Arial"/>
          <w:sz w:val="18"/>
          <w:szCs w:val="18"/>
          <w:color w:val="auto"/>
        </w:rPr>
        <w:t>Chief Financial Officer</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6" Type="http://schemas.openxmlformats.org/officeDocument/2006/relationships/hyperlink" Target="http://www.sec.gov/Archives/edgar/data/1611647/000121390023069135/ea183939ex10-1_freshp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2023-11-06T15:36:16Z</dcterms:created>
  <dcterms:modified xsi:type="dcterms:W3CDTF">2023-11-06T15:36:16Z</dcterms:modified>
</cp:coreProperties>
</file>