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Cyr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8"/>
        <w:gridCol w:w="935"/>
        <w:gridCol w:w="803"/>
        <w:gridCol w:w="621"/>
        <w:gridCol w:w="343"/>
        <w:gridCol w:w="917"/>
        <w:gridCol w:w="420"/>
        <w:gridCol w:w="756"/>
        <w:gridCol w:w="1121"/>
        <w:gridCol w:w="973"/>
        <w:gridCol w:w="13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329,521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41,028</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74.8</w:t>
            </w:r>
            <w:r>
              <w:rPr>
                <w:rFonts w:ascii="Times;serif" w:hAnsi="Times;serif"/>
                <w:color w:val="008000"/>
                <w:position w:val="7"/>
                <w:sz w:val="16"/>
                <w:sz w:val="20"/>
                <w:shd w:fill="FFFFFF" w:val="clear"/>
              </w:rPr>
              <w:t>(2)(3)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288,493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38,123</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73.58</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37,471</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85,180</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73.58</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83,907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4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77,817</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r>
        <w:trPr/>
        <w:tc>
          <w:tcPr>
            <w:tcW w:w="19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8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1,125</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73.58</w:t>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76,692</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bl>
    <w:tbl>
      <w:tblPr>
        <w:tblW w:w="124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117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181,179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Irrevocable Spousal Trust for Linda W. Cyr</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Linda W. Cyr 2020 Irrevocable Trust for Descendants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$74.804 to $74.806.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undertakes to provide to Freshpet, Inc., any security holders of Freshpet, Inc. or the staff of the Securities and Exchange Commission, upon request, full information regarding the number of shares sold at each price within the range set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were issued pursuant to the Issuer's 2014 Omnibus Incentive Plan. These options are fully vested as of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Lampert,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80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874</Words>
  <Characters>4616</Characters>
  <CharactersWithSpaces>5306</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