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10-K/A</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29845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4160" w:right="1940" w:hanging="4152"/>
        <w:spacing w:after="0" w:line="266"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99" w:lineRule="exact"/>
        <w:rPr>
          <w:sz w:val="24"/>
          <w:szCs w:val="24"/>
          <w:color w:val="auto"/>
        </w:rPr>
      </w:pPr>
    </w:p>
    <w:p>
      <w:pPr>
        <w:ind w:left="500" w:right="720" w:hanging="492"/>
        <w:spacing w:after="0" w:line="286"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spacing w:after="0" w:line="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19685</wp:posOffset>
            </wp:positionV>
            <wp:extent cx="89979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9795" cy="24003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Freshpet,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-228600</wp:posOffset>
            </wp:positionV>
            <wp:extent cx="6420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21590</wp:posOffset>
            </wp:positionV>
            <wp:extent cx="6420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22" w:lineRule="exact"/>
        <w:rPr>
          <w:sz w:val="24"/>
          <w:szCs w:val="24"/>
          <w:color w:val="auto"/>
        </w:rPr>
      </w:pPr>
    </w:p>
    <w:tbl>
      <w:tblPr>
        <w:tblLayout w:type="fixed"/>
        <w:tblInd w:w="1200" w:type="dxa"/>
        <w:tblCellMar>
          <w:top w:w="0" w:type="dxa"/>
          <w:left w:w="0" w:type="dxa"/>
          <w:bottom w:w="0" w:type="dxa"/>
          <w:right w:w="0" w:type="dxa"/>
        </w:tblCellMar>
      </w:tblPr>
      <w:tr>
        <w:trPr>
          <w:trHeight w:val="216"/>
        </w:trPr>
        <w:tc>
          <w:tcPr>
            <w:tcW w:w="45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20-1884894</w:t>
            </w:r>
          </w:p>
        </w:tc>
      </w:tr>
      <w:tr>
        <w:trPr>
          <w:trHeight w:val="238"/>
        </w:trPr>
        <w:tc>
          <w:tcPr>
            <w:tcW w:w="45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c>
          <w:tcPr>
            <w:tcW w:w="418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10"/>
        </w:trPr>
        <w:tc>
          <w:tcPr>
            <w:tcW w:w="450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400 Plaza Drive, 1st Floor</w:t>
            </w:r>
          </w:p>
        </w:tc>
        <w:tc>
          <w:tcPr>
            <w:tcW w:w="4180" w:type="dxa"/>
            <w:vAlign w:val="bottom"/>
          </w:tcPr>
          <w:p>
            <w:pPr>
              <w:spacing w:after="0"/>
              <w:rPr>
                <w:sz w:val="24"/>
                <w:szCs w:val="24"/>
                <w:color w:val="auto"/>
              </w:rPr>
            </w:pPr>
          </w:p>
        </w:tc>
      </w:tr>
      <w:tr>
        <w:trPr>
          <w:trHeight w:val="216"/>
        </w:trPr>
        <w:tc>
          <w:tcPr>
            <w:tcW w:w="45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Secaucus, New Jersey</w:t>
            </w:r>
          </w:p>
        </w:tc>
        <w:tc>
          <w:tcPr>
            <w:tcW w:w="418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07094</w:t>
            </w:r>
          </w:p>
        </w:tc>
      </w:tr>
      <w:tr>
        <w:trPr>
          <w:trHeight w:val="238"/>
        </w:trPr>
        <w:tc>
          <w:tcPr>
            <w:tcW w:w="45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18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 520-4000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2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880" w:type="dxa"/>
            <w:vAlign w:val="bottom"/>
          </w:tcPr>
          <w:p>
            <w:pPr>
              <w:spacing w:after="0"/>
              <w:rPr>
                <w:sz w:val="20"/>
                <w:szCs w:val="20"/>
                <w:color w:val="auto"/>
              </w:rPr>
            </w:pPr>
          </w:p>
        </w:tc>
        <w:tc>
          <w:tcPr>
            <w:tcW w:w="19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FRPT</w:t>
            </w:r>
          </w:p>
        </w:tc>
        <w:tc>
          <w:tcPr>
            <w:tcW w:w="320" w:type="dxa"/>
            <w:vAlign w:val="bottom"/>
          </w:tcPr>
          <w:p>
            <w:pPr>
              <w:spacing w:after="0"/>
              <w:rPr>
                <w:sz w:val="20"/>
                <w:szCs w:val="20"/>
                <w:color w:val="auto"/>
              </w:rPr>
            </w:pPr>
          </w:p>
        </w:tc>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r>
        <w:trPr>
          <w:trHeight w:val="432"/>
        </w:trPr>
        <w:tc>
          <w:tcPr>
            <w:tcW w:w="1860" w:type="dxa"/>
            <w:vAlign w:val="bottom"/>
          </w:tcPr>
          <w:p>
            <w:pPr>
              <w:spacing w:after="0"/>
              <w:rPr>
                <w:sz w:val="24"/>
                <w:szCs w:val="24"/>
                <w:color w:val="auto"/>
              </w:rPr>
            </w:pPr>
          </w:p>
        </w:tc>
        <w:tc>
          <w:tcPr>
            <w:tcW w:w="6760" w:type="dxa"/>
            <w:vAlign w:val="bottom"/>
            <w:gridSpan w:val="7"/>
          </w:tcPr>
          <w:p>
            <w:pPr>
              <w:ind w:left="13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96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83"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3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the shares of common stock on The NASDAQ Stock Market on June 30, 2022, was approximately $2.4 billion.</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as of April 24, 2023 was 48,111,646.</w:t>
      </w:r>
    </w:p>
    <w:p>
      <w:pPr>
        <w:sectPr>
          <w:pgSz w:w="11900" w:h="16838" w:orient="portrait"/>
          <w:cols w:equalWidth="0" w:num="1">
            <w:col w:w="11220"/>
          </w:cols>
          <w:pgMar w:left="320" w:top="216" w:right="359" w:bottom="29"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102235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 w:name="page3"/>
    <w:bookmarkEnd w:id="2"/>
    <w:p>
      <w:pPr>
        <w:jc w:val="right"/>
        <w:ind w:right="30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Freshpet, Inc. (“Freshpet,” the “Company,” “we,” “our” or “us”) is filing this Amendment No. 1 on Form 10-K/A (this “Amendment”) to amend the Company’s Annual Report on Form 10-K for the fiscal year ended December 31, 2022, originally filed with the Securities and Exchange Commission (the “SEC”) on February 28, 2023 (the “2022 10-K”), to include the information required by Items 10 through 14 of Part III of Form 10-K. This information was previously omitted from the 2022 10-K in reliance on General Instruction G(3) to Form 10-K, which permits the information in the above referenced items to be incorporated in the Form 10-K by reference from the Company’s definitive proxy statement if such statement is filed no later than 120 days after the Company’s fiscal year-end. We are filing this Amendment to provide the information required in Part III of Form 10-K because a definitive proxy statement containing such information will not be filed by the Company within 120 days after the end of the fiscal year covered by the 2022 10-K.</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Amendment amends and restates in their entirety Items 10, 11, 12, 13 and 14 of Part III of the 2022 10-K and the exhibit index set forth in Part IV of the 2022 10-K and includes certain exhibits as noted thereon. The cover page of the 2022 10-K is also amended to delete the reference to the incorporation by reference of the Company’s definitive proxy statement.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Except as described above, no other changes have been made to the 2022 10-K, and this Amendment does not modify, amend or update in any way any of the financial or other information contained in the 2022 10-K. This Amendment does not reflect events occurring after the date of the filing of our 2022 10-K. Accordingly, this Amendment should be read in conjunction with our 2022 10-K and with our filings with the SEC subsequent to the filing of our 2022 10-K.</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amended (the “Exchange Act”), this Form 10-K/A also contains certifications pursuant to Section 302 of the Sarbanes-Oxley Act of 2002, which are attached hereto. Because no financial statements have been included in this Amendment and this Amendment does not contain or amend any disclosure with respect to Items 307 and 308 of Regulation S-K, paragraphs 3, 4 and 5 of the certifications have been omitted. Terms used but not defined herein are as defined in our 2022 10-K.</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Freshpet,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8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Amendment No. 1 on Form 10-K/A</w:t>
            </w:r>
          </w:p>
        </w:tc>
        <w:tc>
          <w:tcPr>
            <w:tcW w:w="1480" w:type="dxa"/>
            <w:vAlign w:val="bottom"/>
          </w:tcPr>
          <w:p>
            <w:pPr>
              <w:spacing w:after="0"/>
              <w:rPr>
                <w:sz w:val="20"/>
                <w:szCs w:val="20"/>
                <w:color w:val="auto"/>
              </w:rPr>
            </w:pPr>
          </w:p>
        </w:tc>
      </w:tr>
      <w:tr>
        <w:trPr>
          <w:trHeight w:val="410"/>
        </w:trPr>
        <w:tc>
          <w:tcPr>
            <w:tcW w:w="940" w:type="dxa"/>
            <w:vAlign w:val="bottom"/>
          </w:tcPr>
          <w:p>
            <w:pPr>
              <w:spacing w:after="0"/>
              <w:rPr>
                <w:sz w:val="24"/>
                <w:szCs w:val="24"/>
                <w:color w:val="auto"/>
              </w:rPr>
            </w:pPr>
          </w:p>
        </w:tc>
        <w:tc>
          <w:tcPr>
            <w:tcW w:w="882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11</w:t>
            </w:r>
          </w:p>
        </w:tc>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Compensation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13</w:t>
            </w:r>
          </w:p>
        </w:tc>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4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8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Set forth below is the name, age (as of April 24, 2023), position and background (which includes a description of the relevant business experience of each of our executive officers and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40" w:type="dxa"/>
            <w:vAlign w:val="bottom"/>
          </w:tcPr>
          <w:p>
            <w:pPr>
              <w:spacing w:after="0"/>
              <w:rPr>
                <w:sz w:val="20"/>
                <w:szCs w:val="20"/>
                <w:color w:val="auto"/>
              </w:rPr>
            </w:pPr>
          </w:p>
        </w:tc>
        <w:tc>
          <w:tcPr>
            <w:tcW w:w="6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 Norris</w:t>
            </w:r>
          </w:p>
        </w:tc>
        <w:tc>
          <w:tcPr>
            <w:tcW w:w="14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76</w:t>
            </w:r>
          </w:p>
        </w:tc>
        <w:tc>
          <w:tcPr>
            <w:tcW w:w="14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William B. Cyr</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4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Basto</w:t>
            </w:r>
          </w:p>
        </w:tc>
        <w:tc>
          <w:tcPr>
            <w:tcW w:w="14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Olu Beck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Daryl G. Brewster</w:t>
            </w:r>
          </w:p>
        </w:tc>
        <w:tc>
          <w:tcPr>
            <w:tcW w:w="14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Lawrence S. Coben</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N. George III</w:t>
            </w:r>
          </w:p>
        </w:tc>
        <w:tc>
          <w:tcPr>
            <w:tcW w:w="14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Jacki S. Kelley</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Leta D. Priest</w:t>
            </w:r>
          </w:p>
        </w:tc>
        <w:tc>
          <w:tcPr>
            <w:tcW w:w="14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c>
          <w:tcPr>
            <w:tcW w:w="14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Craig D. Steeneck</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65</w:t>
            </w:r>
          </w:p>
        </w:tc>
        <w:tc>
          <w:tcPr>
            <w:tcW w:w="14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Morris</w:t>
            </w:r>
          </w:p>
        </w:tc>
        <w:tc>
          <w:tcPr>
            <w:tcW w:w="14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Todd Cunfer</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4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Macchiaverna</w:t>
            </w:r>
          </w:p>
        </w:tc>
        <w:tc>
          <w:tcPr>
            <w:tcW w:w="14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65</w:t>
            </w:r>
          </w:p>
        </w:tc>
        <w:tc>
          <w:tcPr>
            <w:tcW w:w="14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Vice President, Secretary and Treasurer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Cathal Walsh</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14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Managing Director of Europe</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Thembeka “Thembi” Machaba</w:t>
            </w:r>
          </w:p>
        </w:tc>
        <w:tc>
          <w:tcPr>
            <w:tcW w:w="14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45</w:t>
            </w:r>
          </w:p>
        </w:tc>
        <w:tc>
          <w:tcPr>
            <w:tcW w:w="140" w:type="dxa"/>
            <w:vAlign w:val="bottom"/>
            <w:shd w:val="clear" w:color="auto" w:fill="CCEEFF"/>
          </w:tcPr>
          <w:p>
            <w:pPr>
              <w:spacing w:after="0"/>
              <w:rPr>
                <w:sz w:val="18"/>
                <w:szCs w:val="18"/>
                <w:color w:val="auto"/>
              </w:rPr>
            </w:pPr>
          </w:p>
        </w:tc>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Ivan Garcia</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tcPr>
          <w:p>
            <w:pPr>
              <w:spacing w:after="0"/>
              <w:rPr>
                <w:sz w:val="20"/>
                <w:szCs w:val="20"/>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Controller</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 of Directors and Executive 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Chairman of the Board and 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Charles A. Norris </w:t>
      </w:r>
      <w:r>
        <w:rPr>
          <w:rFonts w:ascii="Times New Roman" w:cs="Times New Roman" w:eastAsia="Times New Roman" w:hAnsi="Times New Roman"/>
          <w:sz w:val="18"/>
          <w:szCs w:val="18"/>
          <w:color w:val="auto"/>
        </w:rPr>
        <w:t>has been a member of our Board of Directors (the “Board”) and Chairman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since October 2006. Mr. Norris served as a member of the board of directors of Primo Water Corporation from 2016 to April 2020 and previously served as the Chairman of Glacier Water Services Inc. from 2001 to 2016. Mr. Norris was previously a member of the board of directors of Advanced Engineering Management and MP Holdco LLC, and was Chairman of the Board of Day Runner from September 2001 to November 2003, when it was sold. Mr. Norris is the retired President of McKesson Water Products Company, a bottled water company and division of McKesson Corporation, where he served as President from 1990 until he retired in October 2000. From 1981 through 1989, Mr. Norris served as President of Deer Park Spring Water Company, which was a division of Nestle USA, and then led an investor group that acquired the business in 1985 until it was sold to Clorox in 1987. Mr. Norris remained with Clorox through 1989 following their acquisition of Deer Park. From 1973 to 1985, Mr. Norris served in various operational executive positions with Nestlé in both Switzerland and the United States. Mr. Norris provides the Board of Directors with extensive corporate leadership experience as well as a deep understanding of our business.</w:t>
      </w:r>
    </w:p>
    <w:p>
      <w:pPr>
        <w:spacing w:after="0" w:line="185"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18"/>
          <w:szCs w:val="18"/>
          <w:b w:val="1"/>
          <w:bCs w:val="1"/>
          <w:color w:val="auto"/>
        </w:rPr>
        <w:t>Director and CEO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William B. Cyr </w:t>
      </w:r>
      <w:r>
        <w:rPr>
          <w:rFonts w:ascii="Times New Roman" w:cs="Times New Roman" w:eastAsia="Times New Roman" w:hAnsi="Times New Roman"/>
          <w:sz w:val="18"/>
          <w:szCs w:val="18"/>
          <w:color w:val="auto"/>
        </w:rPr>
        <w:t>has been a member of our Board of Directors and our Chief Executive Officer since September 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assuming his role at Freshpet, Mr. Cyr served as President and Chief Executive Officer of Sunny Delight Beverages Co. (“SDBC”) from August 2004 to February 2016. Prior to joining SDBC, Mr. Cyr spent 19 years at Procter &amp; Gamble, where he ultimately served as the Vice President and General Manager of the North American Juice Business and Global Nutritional Beverages. Mr. Cyr serves as a Board and Executive Committee Member of the Consumer Brands Association, a position he has held since 2002. Additionally, during his time as President and Chief Executive Officer of SDBC, Mr. Cyr was a member of the Board of Directors of American Beverage Association from 2007 until 2016 and on the Executive Committee from 2012 to 2016. Mr. Cyr holds an A.B. from Princeton University. Mr. Cyr provides the Board of Directors with knowledge of the daily affairs of the Company, expertise in the consumer products industry (including pet products and refrigerated foods), extensive experience in corporate leadership and high growth businesses, including mergers and acquisitions.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firstLine="594"/>
        <w:spacing w:after="0" w:line="256"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J. David Basto </w:t>
      </w:r>
      <w:r>
        <w:rPr>
          <w:rFonts w:ascii="Times New Roman" w:cs="Times New Roman" w:eastAsia="Times New Roman" w:hAnsi="Times New Roman"/>
          <w:sz w:val="18"/>
          <w:szCs w:val="18"/>
          <w:color w:val="auto"/>
        </w:rPr>
        <w:t>has been a member of our Board of Directors since December 2010. Mr. Basto is a Partner and a Managing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Carlyle Group, a diversified global investment firm, which he joined in 2015. Prior to joining The Carlyle Group, Mr. Basto was Founding Partner and Managing Director of Broad Sky Partners, from its formation in 2013 to 2015. Prior to co-founding Broad Sky Partners, Mr. Basto worked for MidOcean Partners from its inception in 2003 through 2013, most recently as Managing Director and co-head of MidOcean Partner’s consumer sector investing team. Prior to MidOcean Partners, Mr. Basto worked for DB Capital Partners and its predecessor BT Capital Partners from 1998 through 2003. Previously, Mr. Basto held positions with Juno Partners and Tucker Anthony Inc. Mr. Basto provides the Board of Directors with extensive core business and leadership skill as well as expertise in analyzing financial issues and insights into the consumer sector.</w:t>
      </w:r>
    </w:p>
    <w:p>
      <w:pPr>
        <w:spacing w:after="0" w:line="183"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Olu Beck </w:t>
      </w:r>
      <w:r>
        <w:rPr>
          <w:rFonts w:ascii="Times New Roman" w:cs="Times New Roman" w:eastAsia="Times New Roman" w:hAnsi="Times New Roman"/>
          <w:sz w:val="18"/>
          <w:szCs w:val="18"/>
          <w:color w:val="auto"/>
        </w:rPr>
        <w:t>has been a member of our Board of Directors since October 2019. Since January 2013, Ms. Beck has been the Founder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The Beck Group NJ, a boutique strategic and management consulting firm. Ms. Beck also served as Chief Executive Officer and a member of the board of directors of Wholesome Sweeteners, Inc., a maker of consumer-packaged natural and organic sweeteners and snacks, from 2016 to 2018. Prior to that, Ms. Beck served as Head of Global &amp; U.S. Marketing (Shopper) &amp; Health and Wellness for Johnson and Johnson, Inc. from 2010 to 2012. Prior to Johnson and Johnson, Inc., Ms. Beck served in various executive leadership roles in Finance and Sales at Mars Incorporated from 1989 to 2009, including serving as Chief Financial Officer of Uncle Ben’s Rice. Ms. Beck also serves on the board of directors of Hostess Brands, Inc., Denny’s Corporation and Saputo Inc. (TSX: SAP) and is Chair of the Audit Committee of Hostess Brands, Inc. Ms. Beck has more than 25 years of experience in finance, portfolio business management and general management, including direct experience in transformational and strategic growth—both organically and through mergers and acquisition. Ms. Beck provides the Board of Directors with diversified, cross-functional and global experience, extensive management experience in the consumer packaged goods industry and insights into leading practices in executive compensation, corporate governance and audit.</w:t>
      </w:r>
    </w:p>
    <w:p>
      <w:pPr>
        <w:spacing w:after="0" w:line="182" w:lineRule="exact"/>
        <w:rPr>
          <w:sz w:val="20"/>
          <w:szCs w:val="20"/>
          <w:color w:val="auto"/>
        </w:rPr>
      </w:pPr>
    </w:p>
    <w:p>
      <w:pPr>
        <w:jc w:val="both"/>
        <w:ind w:firstLine="612"/>
        <w:spacing w:after="0" w:line="253"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Daryl G. Brewster </w:t>
      </w:r>
      <w:r>
        <w:rPr>
          <w:rFonts w:ascii="Times New Roman" w:cs="Times New Roman" w:eastAsia="Times New Roman" w:hAnsi="Times New Roman"/>
          <w:sz w:val="18"/>
          <w:szCs w:val="18"/>
          <w:color w:val="auto"/>
        </w:rPr>
        <w:t>has been a member of our Board of Directors since January 2011. Since 2021, Mr. Brewster has served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Transformational CPG Acquisition Corp., a newly organized blank check company focused on effecting a potential transaction in the consumer packaged goods industry. Since 2013, Mr. Brewster has served as the Chief Executive Officer of CECP, a coalition of chief executive officers from over 200 large cap companies focused on driving sustainable business and improving communication with strategic investors. Since 2008, Mr. Brewster has also been the founder and chief executive officer of Brookside Management, LLC, a boutique consulting firm that provides C-level consulting and support to consumer companies and service providers to the industry. Mr. Brewster serves as an Operating Advisor to The Carlyle Group and previously served as a Management Advisor to MidOcean Partners. Mr. Brewster served as the Chief Executive Officer of Krispy Kreme Doughnuts, Inc. from March 2006 through January 2008. From 1996 to 2006, Mr. Brewster was a senior executive at Nabisco, Inc. and Kraft, Inc. (which acquired Nabisco in 2000), where he served in numerous senior executive roles, most recently as Group Vice President and President, Snacks, Biscuits and Cereal. Before joining Nabisco, Mr. Brewster served as Managing Director, Campbell’s Grocery Products Ltd.—UK, Vice-President, Campbell’s Global Strategy, and Business Director, Campbell’s U.S. Soup. Mr. Brewster serves on the boards of several middle-market growth companies, and previously served on the board of E*Trade Financial Services, Inc. Mr. Brewster provides the Board of Directors with experience in corporate leadership, public company operations, and an understanding of the pet and consumer packaged goods industries.</w:t>
      </w:r>
    </w:p>
    <w:p>
      <w:pPr>
        <w:spacing w:after="0" w:line="187"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Lawrence S. Coben, Ph.D. </w:t>
      </w:r>
      <w:r>
        <w:rPr>
          <w:rFonts w:ascii="Times New Roman" w:cs="Times New Roman" w:eastAsia="Times New Roman" w:hAnsi="Times New Roman"/>
          <w:sz w:val="18"/>
          <w:szCs w:val="18"/>
          <w:color w:val="auto"/>
        </w:rPr>
        <w:t>has been a member of our Board of Directors since November 2014. Dr. Coben has served as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NRG Energy, an integrated power and energy company, since February 2017 and has been a director of NRG since December 2003. Dr. Coben was Chairman and Chief Executive Officer of Tremisis Energy Corporation LLC from 2003 to December 2017. Dr. Coben was Chairman and Chief Executive Officer of Tremisis Energy Acquisition Corporation II, a publicly held company, from July 2007 through March 2009 and of Tremisis Energy Acquisition Corporation from February 2004 to May 2006. From January 2001 to January 2004, Dr. Coben was a Senior Principal of Sunrise Capital Partners L.P., a private equity firm. From 1997 to January 2001, Dr. Coben was an independent consultant. From 1994 to 1996, Dr. Coben was Chief Executive Officer of Bolivian Power Company. Dr. Coben served on the advisory board of Morgan Stanley Infrastructure II, L.P. from September 2014 through December 2016. Dr. Coben is also Executive Director of the Escala Initiative (formerly the Sustainable Preservation Initiative) and a Consulting Scholar at the University of Pennsylvania Museum of Archaeology and Anthropology. Dr. Coben provides the Board of Directors with significant managerial, strategic, and financial expertise, particularly as it relates to company financings, transactions and development initiatives.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ind w:firstLine="612"/>
        <w:spacing w:after="0" w:line="254"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Walter N. George III </w:t>
      </w:r>
      <w:r>
        <w:rPr>
          <w:rFonts w:ascii="Times New Roman" w:cs="Times New Roman" w:eastAsia="Times New Roman" w:hAnsi="Times New Roman"/>
          <w:sz w:val="18"/>
          <w:szCs w:val="18"/>
          <w:color w:val="auto"/>
        </w:rPr>
        <w:t>has been a member of our Board of Directors since November 2014. Mr. George is the President of G3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LLC, a boutique advisory firm specializing in value creation in small and mid-market consumer products companies, a company he founded in 2013. Mr. George served as President of the American Italian Pasta Company and Corporate Vice President of Ralcorp Holdings from 2010 until its sale to Conagra Foods in 2013. Mr. George served as Chief Operating Officer at American Italian Pasta Company from 2008 to 2010. From 2001 to 2008, Mr. George served in other executive roles with American Italian Pasta Company, including Senior Vice President—Supply Chain and Logistics and Executive Vice President—Operations and Supply Chain. From 1988 through 2001, Mr. George held a number of senior operating positions with Hill’s Pet Nutrition, a subsidiary of Colgate Palmolive Company, most recently as Vice President of Supply Chain. Mr. George serves on the board of Old World Spices and Seasonings, Inc. Mr. George is non-executive chairman of the board of Indigo Wild, LLC. Mr. George provides the Board of Directors with operations expertise, consumer products and pet food industry expertise and public company experience.</w:t>
      </w:r>
    </w:p>
    <w:p>
      <w:pPr>
        <w:spacing w:after="0" w:line="188"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Jacki S. Kelley </w:t>
      </w:r>
      <w:r>
        <w:rPr>
          <w:rFonts w:ascii="Times New Roman" w:cs="Times New Roman" w:eastAsia="Times New Roman" w:hAnsi="Times New Roman"/>
          <w:sz w:val="18"/>
          <w:szCs w:val="18"/>
          <w:color w:val="auto"/>
        </w:rPr>
        <w:t>has been a member of our Board of Directors since February 2019. Ms. Kelley has over 25 years of executive and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experience in the media and digital industries. Ms. Kelley currently serves as CEO/Americas at Dentsu, Inc., a role she has held since January 2020. Prior to her current role, Ms. Kelley spent five years at Bloomberg, first joining as Chief Operating Officer of Bloomberg Media in 2014 and then moving to Bloomberg LP in 2017 after being appointed Deputy Chief Operating Officer. Before joining Bloomberg, Ms. Kelley was the CEO, North America, and President of Global Clients for IPG Mediabrands as well as Global CEO, Universal McCann. Ms. Kelley was also a Vice President, Worldwide Strategy &amp; Solutions, at Yahoo! and worked with USA Today for 18 years, leaving the company as a Senior Vice President. Ms. Kelley also serves on the board of directors of Comic Relief USA and is an Executive Board member of the Ad Council. Ms. Kelley provides the Board of Directors with corporate leadership and extensive senior management experience in media and marketing.</w:t>
      </w:r>
    </w:p>
    <w:p>
      <w:pPr>
        <w:spacing w:after="0" w:line="185"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Leta D. Priest </w:t>
      </w:r>
      <w:r>
        <w:rPr>
          <w:rFonts w:ascii="Times New Roman" w:cs="Times New Roman" w:eastAsia="Times New Roman" w:hAnsi="Times New Roman"/>
          <w:sz w:val="18"/>
          <w:szCs w:val="18"/>
          <w:color w:val="auto"/>
        </w:rPr>
        <w:t>has been a member of our Board of Directors since September 2018. Ms. Priest has over 30 years of executive and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experience in the retail and consumer packaged goods industries. Ms. Priest was a key leader in food for Walmart from May 2003 to November 2015 during Walmart’s expansion of grocery, including serving as Senior Vice President and General Merchandising Manager, Fresh Food from 2009 to 2015. Ms. Priest also served as Senior Vice President, General Merchandising Manager in other key areas of food for Walmart from January 2007 through</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2015. Ms. Priest began her career with Walmart as Vice President of Food Development. Ms. Priest joined Walmart from Safeway, where she served as Vice President Corporate Brands, North America from January 1998 to April 2003. Prior to her time at Safeway, Ms. Priest had 11 years of consumer products experience in senior leadership roles across brand management and product development with The Torbitt &amp; Castleman Company and Dole Food Company. Ms. Priest serves as a director on the following private company boards: Gehl Foods since November 2019 and Milo’s Tea Company since April 2018. Ms. Priest provides the Board of Directors with corporate leadership, public company experience and extensive senior management experience in the retail and consumer packaged goods industries.</w:t>
      </w:r>
    </w:p>
    <w:p>
      <w:pPr>
        <w:spacing w:after="0" w:line="186" w:lineRule="exact"/>
        <w:rPr>
          <w:sz w:val="20"/>
          <w:szCs w:val="20"/>
          <w:color w:val="auto"/>
        </w:rPr>
      </w:pPr>
    </w:p>
    <w:p>
      <w:pPr>
        <w:jc w:val="both"/>
        <w:ind w:firstLine="612"/>
        <w:spacing w:after="0" w:line="252"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Craig D. Steeneck </w:t>
      </w:r>
      <w:r>
        <w:rPr>
          <w:rFonts w:ascii="Times New Roman" w:cs="Times New Roman" w:eastAsia="Times New Roman" w:hAnsi="Times New Roman"/>
          <w:sz w:val="18"/>
          <w:szCs w:val="18"/>
          <w:color w:val="auto"/>
        </w:rPr>
        <w:t>has been a member of our Board of Directors since November 2014. Mr. Steeneck served as the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of Pinnacle Foods Inc., a packaged foods company, from July 2007 to January 2019, where he oversaw the company’s financial operations, treasury, tax, investor relations, corporate development and information technology and was an integral part of the integration team for several of its acquisitions. From June 2005 to July 2007, Mr. Steeneck served as Executive Vice President, Supply Chain Finance and IT of Pinnacle Foods, helping to redesign the supply chain to generate savings and improved financial performance. Pinnacle Foods was acquired by Conagra Brands in October 2018. From April 2003 to June 2005, Mr. Steeneck served as Executive Vice President, Chief Financial Officer and Chief Administrative Officer of Cendant Timeshare Resort Group (now Wyndham Hotels and Resorts, Inc.), playing key roles in wide-scale organization of internal processes and staff management. From March 2001 to April 2003, Mr. Steeneck served as Executive Vice President and Chief Financial Officer of Resorts Condominiums International (now Wyndham Hotels and Resorts, Inc.). From October 1999 to February 2001, Mr. Steeneck was the Chief Financial Officer of International Home Foods Inc. which was acquired by ConAgra Brands in 2000. Mr. Steeneck has served as a board member and as a member of the Audit Committee of Hostess Brands, Inc. since November 2016, and as lead independent director from January 2019 to December 2019. Mr. Steeneck also previously served as Chairman of the Hostess Brands, Inc. Audit Committee from November 2016 to June 2022. Mr. Steeneck has served as a board member of Utz Brands, Inc. (formerly Collier Creek Holdings) since November 2018, where he is Chairman of the Audit Committee and member of the Compensation Committee. Mr. Steeneck served on the Board of Directors of Kind, Inc. from May 2019 to July 2020. Mr. Steeneck provides the Board of Directors with extensive management experience in the consumer-packaged goods industry as well as accounting and financial expertise. Mr. Steeneck also has extensive M&amp;A and capital markets experience.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firstLine="612"/>
        <w:spacing w:after="0" w:line="256" w:lineRule="auto"/>
        <w:rPr>
          <w:sz w:val="20"/>
          <w:szCs w:val="20"/>
          <w:color w:val="auto"/>
        </w:rPr>
      </w:pPr>
      <w:r>
        <w:rPr>
          <w:rFonts w:ascii="Times New Roman" w:cs="Times New Roman" w:eastAsia="Times New Roman" w:hAnsi="Times New Roman"/>
          <w:sz w:val="18"/>
          <w:szCs w:val="18"/>
          <w:b w:val="1"/>
          <w:bCs w:val="1"/>
          <w:color w:val="auto"/>
        </w:rPr>
        <w:t>President, Chief Operating Officer &amp; Co-Founder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Scott Morris </w:t>
      </w:r>
      <w:r>
        <w:rPr>
          <w:rFonts w:ascii="Times New Roman" w:cs="Times New Roman" w:eastAsia="Times New Roman" w:hAnsi="Times New Roman"/>
          <w:sz w:val="18"/>
          <w:szCs w:val="18"/>
          <w:color w:val="auto"/>
        </w:rPr>
        <w:t>is a co-founder of Freshpet and has served as our Chief Operating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July 2015 and President since March 2016. Mr. Morris served as our Chief Marketing Officer from January 2014 to July 2015 and Senior Vice President of Sales and Marketing from 2010 to 2013. Mr. Morris is involved in all aspects of Company development and day-to-day operations. Prior to joining Freshpet, Mr. Morris was Vice President of Marketing at The Meow Mix Company from 2002 to 2006. Previously, Mr. Morris worked at Ralston Purina from 1990 to 2002, holding various leadership positions in Sales and Marketing, most recently Pet Food Group Director. Mr. Morris also works as an advisor and investor in several small startup consumer packaged goods companies with strong social missions and a focus to improve food and the world. Additionally, in 2020, Mr. Morris co-founded Hive Brands, an eco-friendly e-commerce retail platform for sustainable food and household goods.</w:t>
      </w:r>
    </w:p>
    <w:p>
      <w:pPr>
        <w:spacing w:after="0" w:line="183" w:lineRule="exact"/>
        <w:rPr>
          <w:sz w:val="20"/>
          <w:szCs w:val="20"/>
          <w:color w:val="auto"/>
        </w:rPr>
      </w:pPr>
    </w:p>
    <w:p>
      <w:pPr>
        <w:jc w:val="both"/>
        <w:ind w:firstLine="594"/>
        <w:spacing w:after="0" w:line="255" w:lineRule="auto"/>
        <w:rPr>
          <w:sz w:val="20"/>
          <w:szCs w:val="20"/>
          <w:color w:val="auto"/>
        </w:rPr>
      </w:pP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Todd Cunfer </w:t>
      </w:r>
      <w:r>
        <w:rPr>
          <w:rFonts w:ascii="Times New Roman" w:cs="Times New Roman" w:eastAsia="Times New Roman" w:hAnsi="Times New Roman"/>
          <w:sz w:val="18"/>
          <w:szCs w:val="18"/>
          <w:color w:val="auto"/>
        </w:rPr>
        <w:t>has served as Chief Financial Officer since December 2022. Prior to that time, Mr. Cunfer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of The Simply Good Foods Company (NASDAQ: SMPL), a nutritional snack foods company, from August 2017 to October 2022, where he also served as Vice President of Finance from July 2017 until October 2022. Prior to joining that company, Mr. Cunfer previously worked for The Hershey Company (NYSE: HSY) for more than 20 years, where his experience encompassed financial planning and analysis, capital structure, supply chain management, strategic operations and mergers and acquisitions. At The Hershey Company, Mr. Cunfer served in a variety of senior executive finance roles, including as Vice President, Finance for the International business from March 2017 until July 2017, Vice President, Global Supply Chain Finance from February 2015 to March 2017, Vice President, North America Finance from February 2013 to February 2015, and Vice President, U.S. Finance from December 2010 to February 2013</w:t>
      </w:r>
    </w:p>
    <w:p>
      <w:pPr>
        <w:spacing w:after="0" w:line="185" w:lineRule="exact"/>
        <w:rPr>
          <w:sz w:val="20"/>
          <w:szCs w:val="20"/>
          <w:color w:val="auto"/>
        </w:rPr>
      </w:pPr>
    </w:p>
    <w:p>
      <w:pPr>
        <w:jc w:val="both"/>
        <w:ind w:firstLine="594"/>
        <w:spacing w:after="0" w:line="257" w:lineRule="auto"/>
        <w:rPr>
          <w:sz w:val="20"/>
          <w:szCs w:val="20"/>
          <w:color w:val="auto"/>
        </w:rPr>
      </w:pPr>
      <w:r>
        <w:rPr>
          <w:rFonts w:ascii="Times New Roman" w:cs="Times New Roman" w:eastAsia="Times New Roman" w:hAnsi="Times New Roman"/>
          <w:sz w:val="18"/>
          <w:szCs w:val="18"/>
          <w:b w:val="1"/>
          <w:bCs w:val="1"/>
          <w:color w:val="auto"/>
        </w:rPr>
        <w:t>EVP, Secretary &amp; Treasurer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Stephen Macchiaverna </w:t>
      </w:r>
      <w:r>
        <w:rPr>
          <w:rFonts w:ascii="Times New Roman" w:cs="Times New Roman" w:eastAsia="Times New Roman" w:hAnsi="Times New Roman"/>
          <w:sz w:val="18"/>
          <w:szCs w:val="18"/>
          <w:color w:val="auto"/>
        </w:rPr>
        <w:t>has served as Executive Vice President, Secretary and Treasurer since September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that time, Mr. Macchiaverna served as Senior Vice President, Controller &amp; Secretary, from October 2006. Prior to joining Freshpet, Mr. Macchiaverna was the Controller for The Meow Mix Company from its inception in 2002 through its sale and transition to Del Monte Foods in 2006. From 1999 to 2001, Mr. Macchiaverna was the Vice President of Finance and Treasurer of Virgin Drinks USA, Inc. Mr. Macchiaverna began his consumer-packaged goods career with First Brands Corporation, where he worked from 1986 to 1999, most recently as Divisional Controller for all domestic subsidiaries. Mr. Macchiaverna has over 30 years’ experience in consumer-packaged goods financial management.</w:t>
      </w:r>
    </w:p>
    <w:p>
      <w:pPr>
        <w:spacing w:after="0" w:line="182" w:lineRule="exact"/>
        <w:rPr>
          <w:sz w:val="20"/>
          <w:szCs w:val="20"/>
          <w:color w:val="auto"/>
        </w:rPr>
      </w:pPr>
    </w:p>
    <w:p>
      <w:pPr>
        <w:jc w:val="both"/>
        <w:ind w:firstLine="594"/>
        <w:spacing w:after="0" w:line="259" w:lineRule="auto"/>
        <w:rPr>
          <w:sz w:val="20"/>
          <w:szCs w:val="20"/>
          <w:color w:val="auto"/>
        </w:rPr>
      </w:pPr>
      <w:r>
        <w:rPr>
          <w:rFonts w:ascii="Times New Roman" w:cs="Times New Roman" w:eastAsia="Times New Roman" w:hAnsi="Times New Roman"/>
          <w:sz w:val="18"/>
          <w:szCs w:val="18"/>
          <w:b w:val="1"/>
          <w:bCs w:val="1"/>
          <w:color w:val="auto"/>
        </w:rPr>
        <w:t>Co-Founder, Managing Director of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Cathal Walsh </w:t>
      </w:r>
      <w:r>
        <w:rPr>
          <w:rFonts w:ascii="Times New Roman" w:cs="Times New Roman" w:eastAsia="Times New Roman" w:hAnsi="Times New Roman"/>
          <w:sz w:val="18"/>
          <w:szCs w:val="18"/>
          <w:color w:val="auto"/>
        </w:rPr>
        <w:t>is a co-founder of Freshpet and has served as Managing Director of Europe,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titled Senior Vice President of Cooler Operations, since January 2011 and previously served as our Chief Operating Officer from October 2006 to January 2011. Prior to founding Freshpet, Mr. Walsh was Zone Marketing Manager at Nestlé Worldwide from 2000 to 2005 and was Marketing Manager at Nestlé Pet Care from 1996 to 2000. Mr. Walsh has over 25 years’ experience in packaged goods marketing, sales and management, including in international food markets.</w:t>
      </w:r>
    </w:p>
    <w:p>
      <w:pPr>
        <w:spacing w:after="0" w:line="179" w:lineRule="exact"/>
        <w:rPr>
          <w:sz w:val="20"/>
          <w:szCs w:val="20"/>
          <w:color w:val="auto"/>
        </w:rPr>
      </w:pPr>
    </w:p>
    <w:p>
      <w:pPr>
        <w:jc w:val="both"/>
        <w:ind w:firstLine="594"/>
        <w:spacing w:after="0" w:line="255" w:lineRule="auto"/>
        <w:rPr>
          <w:sz w:val="20"/>
          <w:szCs w:val="20"/>
          <w:color w:val="auto"/>
        </w:rPr>
      </w:pPr>
      <w:r>
        <w:rPr>
          <w:rFonts w:ascii="Times New Roman" w:cs="Times New Roman" w:eastAsia="Times New Roman" w:hAnsi="Times New Roman"/>
          <w:sz w:val="18"/>
          <w:szCs w:val="18"/>
          <w:b w:val="1"/>
          <w:bCs w:val="1"/>
          <w:color w:val="auto"/>
        </w:rPr>
        <w:t>SVP, Human Resources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Thembeka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Thembi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Machaba </w:t>
      </w:r>
      <w:r>
        <w:rPr>
          <w:rFonts w:ascii="Times New Roman" w:cs="Times New Roman" w:eastAsia="Times New Roman" w:hAnsi="Times New Roman"/>
          <w:sz w:val="18"/>
          <w:szCs w:val="18"/>
          <w:color w:val="auto"/>
        </w:rPr>
        <w:t>joined Freshpet in August of 2020, as SVP of Human Resources. Ms. Machaba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20 years’ experience in the Manufacturing, Food &amp; Beverage industries. Prior to joining Freshpet, Ms. Machaba was a Vice President of Global Human Resources and Organization Development at Molson Coors, a multinational beverage brewing company, from January 2019 to August 2020 and Senior Director of Global Human Resources from October 2016 to December 2018. Ms. Machaba held various roles within Human Resources at MillerCoors, the North American Business unit of Molson Coors from August 2012 to October 2016. Prior to moving to the United States, Ms. Machaba served in a number of senior Human Resource roles in SABMiller, a global brewing company in South Africa beginning in 2003 to 2011. Prior to joining SABMiller, Ms. Machaba worked in a training role at AFROX, a chemical manufacturing company in South Africa. Prior to that Ms. Machaba worked at Unilever SA in various Human Resources roles.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594"/>
        <w:spacing w:after="0" w:line="262" w:lineRule="auto"/>
        <w:rPr>
          <w:sz w:val="20"/>
          <w:szCs w:val="20"/>
          <w:color w:val="auto"/>
        </w:rPr>
      </w:pPr>
      <w:r>
        <w:rPr>
          <w:rFonts w:ascii="Times New Roman" w:cs="Times New Roman" w:eastAsia="Times New Roman" w:hAnsi="Times New Roman"/>
          <w:sz w:val="18"/>
          <w:szCs w:val="18"/>
          <w:b w:val="1"/>
          <w:bCs w:val="1"/>
          <w:color w:val="auto"/>
        </w:rPr>
        <w:t>VP of Finance, Controller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Ivan Garcia </w:t>
      </w:r>
      <w:r>
        <w:rPr>
          <w:rFonts w:ascii="Times New Roman" w:cs="Times New Roman" w:eastAsia="Times New Roman" w:hAnsi="Times New Roman"/>
          <w:sz w:val="18"/>
          <w:szCs w:val="18"/>
          <w:color w:val="auto"/>
        </w:rPr>
        <w:t>has served as Vice President of Finance since April 2017 and Controller since September 2020,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Director of Financial Reporting and Budgeting from June 2015 to March 2017 and Manager of Financial Reporting from February 2014 to May 2015. Prior to joining Freshpet, Mr. Garcia held progressive roles at KPMG LLP (“KPMG”), including Manager of Audit, from September 2007 to January 2014, where he served both public and private clients mainly in the consumer and industrial market segments.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and executive officers.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Board Structure</w:t>
      </w:r>
    </w:p>
    <w:p>
      <w:pPr>
        <w:spacing w:after="0" w:line="229" w:lineRule="exact"/>
        <w:rPr>
          <w:sz w:val="20"/>
          <w:szCs w:val="20"/>
          <w:color w:val="auto"/>
        </w:rPr>
      </w:pPr>
    </w:p>
    <w:p>
      <w:pPr>
        <w:jc w:val="both"/>
        <w:ind w:firstLine="522"/>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10 members and is divided into three classes with staggered three-year terms. At each annual general meeting of stockholders, the successors to directors whose terms then expire will be elected to serve from the time of election and qualification until the third annual meeting following election. The authorized number of directors may be changed by resolution of the Board of Directors. Vacancies on the Board of Directors can be filled by resolution of the Board of Directors. Mr. Norris serves as the Chairman of our Board of Directors. We believe that each of the members of our Board of Directors except Mr. Cyr is independent consistent with Nasdaq rules. Mr. Brewster and Ms. Kelley are the Class I directors, and their terms will expire in 2024. Mr. Basto, Mr. George, Mr. Steeneck and Dr. Coben are the Class II directors, and their terms will expire in 2025. Mr. Norris, Ms. Priest, Ms. Beck and Mr. Cyr are the Class III directors, and their terms will expire in 2023. The current division of our Board of Directors into three classes with staggered terms may delay or prevent a change of our management or a change in control. Following stockholder approval at our 2021 annual meeting of stockholders, we amended our Certificate of Incorporation to provide that our Board of Directors be fully declassified by our 2025 annual meeting of stockholders, with each director to be elected on an annual basis thereafter. See “—Commitment to Good Corporate Governance” for additional information.</w:t>
      </w:r>
    </w:p>
    <w:p>
      <w:pPr>
        <w:spacing w:after="0" w:line="192" w:lineRule="exact"/>
        <w:rPr>
          <w:sz w:val="20"/>
          <w:szCs w:val="20"/>
          <w:color w:val="auto"/>
        </w:rPr>
      </w:pPr>
    </w:p>
    <w:p>
      <w:pPr>
        <w:jc w:val="both"/>
        <w:ind w:firstLine="522"/>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met twelve times during 2022. Under the Company’s Corporate Governance Guidelines, adopted effective as of December 21, 2021, Board members are expected to attend all meetings of the Board and committees on which they serve. Each director serving on the Board in 2022 attended at least 75% of the total meetings of the Board and of committees on which he or she served during the time he or she was on the Board in 2022. All of the members of our Board of Directors serving at the time attended our 2022 annual meeting of stockholders. Our Corporate Governance Guidelines are available on our corporate website at </w:t>
      </w:r>
      <w:r>
        <w:rPr>
          <w:rFonts w:ascii="Times New Roman" w:cs="Times New Roman" w:eastAsia="Times New Roman" w:hAnsi="Times New Roman"/>
          <w:sz w:val="18"/>
          <w:szCs w:val="18"/>
          <w:i w:val="1"/>
          <w:iCs w:val="1"/>
          <w:color w:val="auto"/>
        </w:rPr>
        <w:t>www.freshpet.com</w:t>
      </w:r>
      <w:r>
        <w:rPr>
          <w:rFonts w:ascii="Times New Roman" w:cs="Times New Roman" w:eastAsia="Times New Roman" w:hAnsi="Times New Roman"/>
          <w:sz w:val="18"/>
          <w:szCs w:val="18"/>
          <w:color w:val="auto"/>
        </w:rPr>
        <w:t>. Our website is not part of this annual report.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Nominating, Governance and Sustainability Committee; and a Compensation Committee. Each of the committees reports to the Board of Directors as they deem appropriate, and as the Board of Directors may request. The composition, duties and responsibilities of these committees are set forth below. Pursuant to our Amended and Restated Bylaws (our “Bylaws”), our Board of Directors may establish other committees, as it deems appropriate, to assist it with its responsibilities.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522"/>
        <w:spacing w:after="0" w:line="253" w:lineRule="auto"/>
        <w:rPr>
          <w:sz w:val="20"/>
          <w:szCs w:val="20"/>
          <w:color w:val="auto"/>
        </w:rPr>
      </w:pPr>
      <w:r>
        <w:rPr>
          <w:rFonts w:ascii="Times New Roman" w:cs="Times New Roman" w:eastAsia="Times New Roman" w:hAnsi="Times New Roman"/>
          <w:sz w:val="18"/>
          <w:szCs w:val="18"/>
          <w:color w:val="auto"/>
        </w:rPr>
        <w:t>The Audit Committee is responsible for, among other matters: (1) appointing, compensating, retaining, evaluating, terminating and overseeing our independent registered public accounting firm; (2) discussing with our independent registered public accounting firm their independence from management; (3) reviewing with our independent registered public accounting firm the scope and results of their audit and the audit fee; (4) approving all audit and permissible non-audit services to be performed by our independent registered public accounting firm, including taking into consideration whether the independent auditor’s provision of any non-audit services to us is compatible with maintaining the independent auditor’s independence; (5) overseeing the financial reporting process and discussing with management and our independent registered public accounting firm the interim and annual consolidated financial statements that we file with the SEC; (6) reviewing and monitoring our accounting principles, accounting policies, financial and accounting controls and compliance with legal and regulatory requirements; (7) establishing procedures for the confidential anonymous submission of concerns regarding questionable accounting, internal controls or auditing matters; (8) reviewing and approving related person transactions; (9) annually reviewing the Audit Committee charter and the committee’s performance; and (10) handling such other matters that are specifically delegated to the Audit Committee by our Board of Directors from time to time.</w:t>
      </w:r>
    </w:p>
    <w:p>
      <w:pPr>
        <w:spacing w:after="0" w:line="192"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Our Audit Committee consists of Mr. Steeneck (chair), Mr. Basto and Ms. Beck. Our Board of Directors has affirmatively determined that Mr. Steeneck, Mr. Basto and Ms. Beck meet the definition of “independent directors” for purposes of serving on an Audit Committee under applicable SEC and Nasdaq rules. In addition, Mr. Steeneck qualifies as our “audit committee financial expert,” as such term is defined in Item 407 of Regulation S-K. The Audit Committee met four times during 2022.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 xml:space="preserve">Our Board of Directors has adopted a written charter for the Audit Committee, which is available on our corporate website at </w:t>
      </w:r>
      <w:r>
        <w:rPr>
          <w:rFonts w:ascii="Times New Roman" w:cs="Times New Roman" w:eastAsia="Times New Roman" w:hAnsi="Times New Roman"/>
          <w:sz w:val="18"/>
          <w:szCs w:val="18"/>
          <w:i w:val="1"/>
          <w:iCs w:val="1"/>
          <w:color w:val="auto"/>
        </w:rPr>
        <w:t>www.freshpet.com</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is not part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Governance and Sustainability Committee</w:t>
      </w:r>
    </w:p>
    <w:p>
      <w:pPr>
        <w:spacing w:after="0" w:line="229"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The Nominating, Governance and Sustainability Committee is responsible for developing and recommending to the Board of Directors criteria for identifying and evaluating candidates for directorships and making recommendations to the Board of Directors regarding candidates for election or re-election to the Board of Directors at each annual meeting of stockholders. In addition, the Nominating, Governance and Sustainability Committee is responsible for overseeing our Corporate Governance Guidelines and reporting and making recommendations to the Board of Directors concerning corporate governance matters. The Nominating, Governance and Sustainability Committee is also responsible for regularly reviewing and making recommendations to the Board of Directors concerning the structure, composition and function of the Board of Directors and its committees.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considering director nominees, the Nominating, Governance and Sustainability Committee considers a number of factors, including:</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judgment, strength of character, reputation in the business community, ethics and integrity of the individual;</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or other relevant experience, skills and knowledge that the individual may have that will enable him or her to provide effective oversight of the Company’s business;</w:t>
      </w:r>
    </w:p>
    <w:p>
      <w:pPr>
        <w:ind w:left="980" w:right="2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fit of the individual’s skill set and personality with those of the other Board members so as to build a Board that works together effectively and constructively; and</w:t>
      </w:r>
    </w:p>
    <w:p>
      <w:pPr>
        <w:ind w:left="980" w:hanging="324"/>
        <w:spacing w:after="0" w:line="26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ability to devote sufficient time to carry out his or her responsibilities as a director in light of his or her occupation, any other employment, and the number of boards of directors of other public companies on which he or she serves.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formulating its Board membership recommendations, the Nominating, Governance and Sustainability Committee considers advice and recommendations from stockholders, management and others as it deems appropriate, including a leadership search firm, Spencer Stuart, which was retained by the Nominating, Governance and Sustainability Committee on November 23, 2022 to assist in identifying and evaluating potential candidates. Although we do not have a formal policy regarding Board diversity, when evaluating candidates for nomination as a director, the Nominating, Governance and Sustainability Committee does consider diversity in its many forms, including among others, experience, skills, ethnicity, race and gender. We believe a diverse Board, as so defined, provides for different points of view and robust debate and enhances the effectiveness of the Board. Upon identifying a potential candidate for the Board, members of the Nominating, Governance and Sustainability Committee will interview the candidate, and based upon that interview, reference checks and committee discussions, make a recommendation regarding such candidate to the full Board.</w:t>
      </w:r>
    </w:p>
    <w:p>
      <w:pPr>
        <w:spacing w:after="0" w:line="192"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Our Nominating, Governance and Sustainability Committee consists of Mr. George (Chair), Dr. Coben and Ms. Kelley. Our Board of Directors has affirmatively determined that Mr. George, Dr. Coben and Ms. Kelley meet the definition of “independent directors” for purposes of serving on a Nominating, Governance and Sustainability Committee under applicable SEC and Nasdaq rules. Our Nominating, Governance and Sustainability Committee met three times during 2022.</w:t>
      </w:r>
    </w:p>
    <w:p>
      <w:pPr>
        <w:spacing w:after="0" w:line="180" w:lineRule="exact"/>
        <w:rPr>
          <w:sz w:val="20"/>
          <w:szCs w:val="20"/>
          <w:color w:val="auto"/>
        </w:rPr>
      </w:pPr>
    </w:p>
    <w:p>
      <w:pPr>
        <w:jc w:val="both"/>
        <w:ind w:firstLine="522"/>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has adopted a written charter for the Nominating, Governance and Sustainability Committee, which is available on our corporate website at </w:t>
      </w:r>
      <w:r>
        <w:rPr>
          <w:rFonts w:ascii="Times New Roman" w:cs="Times New Roman" w:eastAsia="Times New Roman" w:hAnsi="Times New Roman"/>
          <w:sz w:val="18"/>
          <w:szCs w:val="18"/>
          <w:i w:val="1"/>
          <w:iCs w:val="1"/>
          <w:color w:val="auto"/>
        </w:rPr>
        <w:t>www.freshpet.com</w:t>
      </w:r>
      <w:r>
        <w:rPr>
          <w:rFonts w:ascii="Times New Roman" w:cs="Times New Roman" w:eastAsia="Times New Roman" w:hAnsi="Times New Roman"/>
          <w:sz w:val="18"/>
          <w:szCs w:val="18"/>
          <w:color w:val="auto"/>
        </w:rPr>
        <w:t>. The information contained on our website does not constitute a part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among other matters: (1) reviewing key employee compensation goals, policies, plans and programs; (2) reviewing and approving the compensation of our directors, Chief Executive Officer and other executive officers; (3) reviewing and approving employment agreements and other similar arrangements between us and our executive officers; and (4) administering our stock plans and other incentive compensation plans. The Compensation Committee may delegate its responsibilities to a subcommittee formed by the Compensation Committee. The Compensation Committee, in its sole discretion, may also engage legal, accounting, or other consultants or experts, including compensation consultants, to provide advice and assist in carrying out its responsibilities.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Mr. Brewster (Chair), Ms. Priest and Ms. Beck. Our Board of Directors has affirmatively determined that Mr. Brewster, Ms. Priest and Ms. Beck meet the definition of “independent directors” for purposes of serving on a Compensation Committee under applicable SEC and Nasdaq rules. Our Compensation Committee met five times during 2022.</w:t>
      </w:r>
    </w:p>
    <w:p>
      <w:pPr>
        <w:spacing w:after="0" w:line="176" w:lineRule="exact"/>
        <w:rPr>
          <w:sz w:val="20"/>
          <w:szCs w:val="20"/>
          <w:color w:val="auto"/>
        </w:rPr>
      </w:pPr>
    </w:p>
    <w:p>
      <w:pPr>
        <w:jc w:val="both"/>
        <w:ind w:firstLine="522"/>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has adopted a written charter for the Compensation Committee, which is available on our corporate website at </w:t>
      </w:r>
      <w:r>
        <w:rPr>
          <w:rFonts w:ascii="Times New Roman" w:cs="Times New Roman" w:eastAsia="Times New Roman" w:hAnsi="Times New Roman"/>
          <w:sz w:val="18"/>
          <w:szCs w:val="18"/>
          <w:i w:val="1"/>
          <w:iCs w:val="1"/>
          <w:color w:val="auto"/>
        </w:rPr>
        <w:t>www.freshpet.com</w:t>
      </w:r>
      <w:r>
        <w:rPr>
          <w:rFonts w:ascii="Times New Roman" w:cs="Times New Roman" w:eastAsia="Times New Roman" w:hAnsi="Times New Roman"/>
          <w:sz w:val="18"/>
          <w:szCs w:val="18"/>
          <w:color w:val="auto"/>
        </w:rPr>
        <w:t>. The information contained on our website does not constitute a part of this report.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process. The Board of Directors focuses on our general risk management strategy and the most significant risks facing us and ensures that appropriate risk mitigation strategies are implemented by management. The Board of Directors is also apprised of risk management matters in connection with its general oversight and approval of corporate matters and significant transactions.</w:t>
      </w:r>
    </w:p>
    <w:p>
      <w:pPr>
        <w:spacing w:after="0" w:line="180" w:lineRule="exact"/>
        <w:rPr>
          <w:sz w:val="20"/>
          <w:szCs w:val="20"/>
          <w:color w:val="auto"/>
        </w:rPr>
      </w:pPr>
    </w:p>
    <w:p>
      <w:pPr>
        <w:jc w:val="both"/>
        <w:ind w:firstLine="522"/>
        <w:spacing w:after="0" w:line="254"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our Audit Committee is responsible for overseeing our major financial risk exposures and the steps our management has taken to monitor and control these exposures and our Compensation Committee assesses and monitors whether any of our compensation policies and programs has the potential to encourage unnecessary risk-taking. In addition, our Audit Committee oversees the performance of our internal audit function and considers and approves or disapproves any related-party transactions. Our management is responsible for day-to-day risk management. This oversight includes identifying, evaluating and addressing potential risks that may exist at the enterprise, strategic, financial, operational, compliance and reporting levels.</w:t>
      </w:r>
    </w:p>
    <w:p>
      <w:pPr>
        <w:spacing w:after="0" w:line="192" w:lineRule="exact"/>
        <w:rPr>
          <w:sz w:val="20"/>
          <w:szCs w:val="20"/>
          <w:color w:val="auto"/>
        </w:rPr>
      </w:pPr>
    </w:p>
    <w:p>
      <w:pPr>
        <w:jc w:val="both"/>
        <w:ind w:firstLine="522"/>
        <w:spacing w:after="0" w:line="256" w:lineRule="auto"/>
        <w:rPr>
          <w:sz w:val="20"/>
          <w:szCs w:val="20"/>
          <w:color w:val="auto"/>
        </w:rPr>
      </w:pPr>
      <w:r>
        <w:rPr>
          <w:rFonts w:ascii="Times New Roman" w:cs="Times New Roman" w:eastAsia="Times New Roman" w:hAnsi="Times New Roman"/>
          <w:sz w:val="18"/>
          <w:szCs w:val="18"/>
          <w:color w:val="auto"/>
        </w:rPr>
        <w:t>We believe good governance at all levels is necessary to drive corporate responsibility, and that our corporate governance is more effective when we consider environmental and social issues as a part of corporate strategy, key risks, and our operations. As a part of this endeavor, the Board oversees the management team fulfilling responsibilities relating to sustainability and corporate social responsibility, particularly those that may affect the stakeholders and stockholders of our Company, and the communities in which we operate. Our Board and its committees play a critical role in oversight of our corporate culture and hold management accountable for its maintenance of high ethical standards, governance practices and compliance programs to protect our business, employees and reputation.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Leadership Structure of the Board of Directors</w:t>
      </w:r>
    </w:p>
    <w:p>
      <w:pPr>
        <w:spacing w:after="0" w:line="229" w:lineRule="exact"/>
        <w:rPr>
          <w:sz w:val="20"/>
          <w:szCs w:val="20"/>
          <w:color w:val="auto"/>
        </w:rPr>
      </w:pPr>
    </w:p>
    <w:p>
      <w:pPr>
        <w:jc w:val="both"/>
        <w:ind w:firstLine="522"/>
        <w:spacing w:after="0" w:line="255"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are presently separated. We believe that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While our Bylaws and Corporate Governance Guidelines do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members of the Compensation Committee is, or has ever been, an executive officer or employee of the Company, nor did they have any relationships requiring disclosure by the Company under Item 404 of Regulation S-K. During 2022, none of our executive officers served as a director or as a member of a compensation committee (or other committee serving an equivalent function) of any other entity that has an executive officer serving as a director on our Board, or as a member of the Compensation Committee.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Commitment to Good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Transformation: 2006 to 2020</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Freshpet was founded in 2006 with a single-minded mission to do right by pets, people and the planet, every step of the way from farm to fridge. In 2010, we welcomed a private equity investor who believed in our mission and the power of our platform, and subsequently went public in 2014. In addition to onboarding new directors with financial and industry expertise that we needed as a public company, we welcomed our current CEO, William B. Cyr, in 2016 to support the Board’s ambition to rapidly and strategically scale the business. In 2019, our Board added three female directors, who brought deep expertise in retail, digital optimization and strategy to support our 2020 long-term plan.</w:t>
      </w:r>
    </w:p>
    <w:p>
      <w:pPr>
        <w:spacing w:after="0" w:line="18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following graphic helps illustrate our history, progress and plans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5554980" cy="3480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Freshpet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Commitment to Good Corporate Governance: 2020 to 2025 Roadmap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2014 IPO, Freshpet’s market cap has grown from around $300 million to approximately $3.2 billion (as of April 26, 2023). As a young public company in pursuit of sizable long-term goals to disrupt the pet food industry, our IPO-related governance provisions provided protection from market volatility and helped ensure business continuity and organizational stability while our Board and management pursued long-term strategic goals and stockholder value creation.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these governance provisions were critical to our success as a young public company, our Board recognized that some of these protections provided by our governance structure should be gradually phased out as we reach maturity. Concurrent with setting Freshpet’s strategic 2025 long-term plan, the Board during 2019 solicited valuable stockholder feedback to receive direct input as to how to best evolve Freshpet’s corporate governance.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response, the Board has implemented a number of corporate governance updates aimed at allowing our Board and management to still focus primarily on the creation of long-term value for our stockholders while also being responsive to our stockholders, employees and the communities in which we do business. Supporting that philosophy, we have adopted, many leading corporate governance practices over the past several years,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3602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3602355"/>
                    </a:xfrm>
                    <a:prstGeom prst="rect">
                      <a:avLst/>
                    </a:prstGeom>
                    <a:noFill/>
                  </pic:spPr>
                </pic:pic>
              </a:graphicData>
            </a:graphic>
          </wp:anchor>
        </w:drawing>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RIGHTS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Freshpet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Corporate Governance Practices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3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Non-Executive Chairman</w:t>
            </w:r>
          </w:p>
        </w:tc>
        <w:tc>
          <w:tcPr>
            <w:tcW w:w="6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positions of Chairman of the Board and Chief Executive Officer are presently separated.</w:t>
            </w:r>
          </w:p>
        </w:tc>
      </w:tr>
      <w:tr>
        <w:trPr>
          <w:trHeight w:val="216"/>
        </w:trPr>
        <w:tc>
          <w:tcPr>
            <w:tcW w:w="4300" w:type="dxa"/>
            <w:vAlign w:val="bottom"/>
            <w:tcBorders>
              <w:right w:val="single" w:sz="8" w:color="auto"/>
            </w:tcBorders>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While our Bylaws and Corporate Governance Guidelines do not require that our Chairman and</w:t>
            </w:r>
          </w:p>
        </w:tc>
      </w:tr>
      <w:tr>
        <w:trPr>
          <w:trHeight w:val="216"/>
        </w:trPr>
        <w:tc>
          <w:tcPr>
            <w:tcW w:w="4300" w:type="dxa"/>
            <w:vAlign w:val="bottom"/>
            <w:tcBorders>
              <w:right w:val="single" w:sz="8" w:color="auto"/>
            </w:tcBorders>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positions be separate, we believe that separating these positions allows</w:t>
            </w:r>
          </w:p>
        </w:tc>
      </w:tr>
      <w:tr>
        <w:trPr>
          <w:trHeight w:val="216"/>
        </w:trPr>
        <w:tc>
          <w:tcPr>
            <w:tcW w:w="4300" w:type="dxa"/>
            <w:vAlign w:val="bottom"/>
            <w:tcBorders>
              <w:right w:val="single" w:sz="8" w:color="auto"/>
            </w:tcBorders>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our Chief Executive Officer to focus on our day-to-day business and our Chairman of the Board</w:t>
            </w:r>
          </w:p>
        </w:tc>
      </w:tr>
      <w:tr>
        <w:trPr>
          <w:trHeight w:val="216"/>
        </w:trPr>
        <w:tc>
          <w:tcPr>
            <w:tcW w:w="4300" w:type="dxa"/>
            <w:vAlign w:val="bottom"/>
            <w:tcBorders>
              <w:right w:val="single" w:sz="8" w:color="auto"/>
            </w:tcBorders>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 lead the Board of Directors in its fundamental role of providing advice to and independent</w:t>
            </w:r>
          </w:p>
        </w:tc>
      </w:tr>
      <w:tr>
        <w:trPr>
          <w:trHeight w:val="234"/>
        </w:trPr>
        <w:tc>
          <w:tcPr>
            <w:tcW w:w="4300" w:type="dxa"/>
            <w:vAlign w:val="bottom"/>
            <w:tcBorders>
              <w:right w:val="single" w:sz="8" w:color="auto"/>
            </w:tcBorders>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oversight of management.</w:t>
            </w:r>
          </w:p>
        </w:tc>
      </w:tr>
      <w:tr>
        <w:trPr>
          <w:trHeight w:val="68"/>
        </w:trPr>
        <w:tc>
          <w:tcPr>
            <w:tcW w:w="4300" w:type="dxa"/>
            <w:vAlign w:val="bottom"/>
            <w:tcBorders>
              <w:bottom w:val="single" w:sz="8" w:color="auto"/>
              <w:right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r>
      <w:tr>
        <w:trPr>
          <w:trHeight w:val="259"/>
        </w:trPr>
        <w:tc>
          <w:tcPr>
            <w:tcW w:w="4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Independence</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During 2022, all of our directors (other than our Chief Executive Officer) were independent,</w:t>
            </w:r>
          </w:p>
        </w:tc>
      </w:tr>
      <w:tr>
        <w:trPr>
          <w:trHeight w:val="234"/>
        </w:trPr>
        <w:tc>
          <w:tcPr>
            <w:tcW w:w="4300" w:type="dxa"/>
            <w:vAlign w:val="bottom"/>
            <w:tcBorders>
              <w:right w:val="single" w:sz="8" w:color="auto"/>
            </w:tcBorders>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and each of our Board committees consisted entirely of independent directors.</w:t>
            </w:r>
          </w:p>
        </w:tc>
      </w:tr>
      <w:tr>
        <w:trPr>
          <w:trHeight w:val="67"/>
        </w:trPr>
        <w:tc>
          <w:tcPr>
            <w:tcW w:w="4300" w:type="dxa"/>
            <w:vAlign w:val="bottom"/>
            <w:tcBorders>
              <w:bottom w:val="single" w:sz="8" w:color="auto"/>
              <w:right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r>
      <w:tr>
        <w:trPr>
          <w:trHeight w:val="259"/>
        </w:trPr>
        <w:tc>
          <w:tcPr>
            <w:tcW w:w="4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Refreshment and Commitment to Diversity</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 2019, the Board appointed three new directors, all of whom are female. We believe that fresh</w:t>
            </w:r>
          </w:p>
        </w:tc>
      </w:tr>
      <w:tr>
        <w:trPr>
          <w:trHeight w:val="216"/>
        </w:trPr>
        <w:tc>
          <w:tcPr>
            <w:tcW w:w="4300" w:type="dxa"/>
            <w:vAlign w:val="bottom"/>
            <w:tcBorders>
              <w:right w:val="single" w:sz="8" w:color="auto"/>
            </w:tcBorders>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perspectives and diversity, in its many forms, and the breadth of perspective that it brings,</w:t>
            </w:r>
          </w:p>
        </w:tc>
      </w:tr>
      <w:tr>
        <w:trPr>
          <w:trHeight w:val="234"/>
        </w:trPr>
        <w:tc>
          <w:tcPr>
            <w:tcW w:w="4300" w:type="dxa"/>
            <w:vAlign w:val="bottom"/>
            <w:tcBorders>
              <w:right w:val="single" w:sz="8" w:color="auto"/>
            </w:tcBorders>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enhances the effectiveness of the Board.</w:t>
            </w:r>
          </w:p>
        </w:tc>
      </w:tr>
      <w:tr>
        <w:trPr>
          <w:trHeight w:val="67"/>
        </w:trPr>
        <w:tc>
          <w:tcPr>
            <w:tcW w:w="4300" w:type="dxa"/>
            <w:vAlign w:val="bottom"/>
            <w:tcBorders>
              <w:bottom w:val="single" w:sz="8" w:color="auto"/>
              <w:right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r>
      <w:tr>
        <w:trPr>
          <w:trHeight w:val="259"/>
        </w:trPr>
        <w:tc>
          <w:tcPr>
            <w:tcW w:w="4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Single Voting Class</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All holders of Freshpet’s common stock have the same voting rights (one vote per share of</w:t>
            </w:r>
          </w:p>
        </w:tc>
      </w:tr>
      <w:tr>
        <w:trPr>
          <w:trHeight w:val="234"/>
        </w:trPr>
        <w:tc>
          <w:tcPr>
            <w:tcW w:w="4300" w:type="dxa"/>
            <w:vAlign w:val="bottom"/>
            <w:tcBorders>
              <w:right w:val="single" w:sz="8" w:color="auto"/>
            </w:tcBorders>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68"/>
        </w:trPr>
        <w:tc>
          <w:tcPr>
            <w:tcW w:w="4300" w:type="dxa"/>
            <w:vAlign w:val="bottom"/>
            <w:tcBorders>
              <w:bottom w:val="single" w:sz="8" w:color="auto"/>
              <w:right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r>
      <w:tr>
        <w:trPr>
          <w:trHeight w:val="277"/>
        </w:trPr>
        <w:tc>
          <w:tcPr>
            <w:tcW w:w="4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 Poison Pill</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 have not adopted a stockholder rights plan, also known as a poison pill.</w:t>
            </w:r>
          </w:p>
        </w:tc>
      </w:tr>
      <w:tr>
        <w:trPr>
          <w:trHeight w:val="67"/>
        </w:trPr>
        <w:tc>
          <w:tcPr>
            <w:tcW w:w="4300" w:type="dxa"/>
            <w:vAlign w:val="bottom"/>
            <w:tcBorders>
              <w:bottom w:val="single" w:sz="8" w:color="auto"/>
              <w:right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r>
      <w:tr>
        <w:trPr>
          <w:trHeight w:val="277"/>
        </w:trPr>
        <w:tc>
          <w:tcPr>
            <w:tcW w:w="4300" w:type="dxa"/>
            <w:vAlign w:val="bottom"/>
            <w:tcBorders>
              <w:right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2020 Stockholder and Board Actions</w:t>
            </w:r>
          </w:p>
        </w:tc>
        <w:tc>
          <w:tcPr>
            <w:tcW w:w="6940" w:type="dxa"/>
            <w:vAlign w:val="bottom"/>
            <w:shd w:val="clear" w:color="auto" w:fill="E6E6E6"/>
          </w:tcPr>
          <w:p>
            <w:pPr>
              <w:spacing w:after="0"/>
              <w:rPr>
                <w:sz w:val="24"/>
                <w:szCs w:val="24"/>
                <w:color w:val="auto"/>
              </w:rPr>
            </w:pPr>
          </w:p>
        </w:tc>
      </w:tr>
      <w:tr>
        <w:trPr>
          <w:trHeight w:val="68"/>
        </w:trPr>
        <w:tc>
          <w:tcPr>
            <w:tcW w:w="4300" w:type="dxa"/>
            <w:vAlign w:val="bottom"/>
            <w:tcBorders>
              <w:bottom w:val="single" w:sz="8" w:color="auto"/>
              <w:right w:val="single" w:sz="8" w:color="E6E6E6"/>
            </w:tcBorders>
            <w:shd w:val="clear" w:color="auto" w:fill="E6E6E6"/>
          </w:tcPr>
          <w:p>
            <w:pPr>
              <w:spacing w:after="0"/>
              <w:rPr>
                <w:sz w:val="5"/>
                <w:szCs w:val="5"/>
                <w:color w:val="auto"/>
              </w:rPr>
            </w:pPr>
          </w:p>
        </w:tc>
        <w:tc>
          <w:tcPr>
            <w:tcW w:w="6940" w:type="dxa"/>
            <w:vAlign w:val="bottom"/>
            <w:tcBorders>
              <w:bottom w:val="single" w:sz="8" w:color="auto"/>
            </w:tcBorders>
            <w:shd w:val="clear" w:color="auto" w:fill="E6E6E6"/>
          </w:tcPr>
          <w:p>
            <w:pPr>
              <w:spacing w:after="0"/>
              <w:rPr>
                <w:sz w:val="5"/>
                <w:szCs w:val="5"/>
                <w:color w:val="auto"/>
              </w:rPr>
            </w:pPr>
          </w:p>
        </w:tc>
      </w:tr>
      <w:tr>
        <w:trPr>
          <w:trHeight w:val="255"/>
        </w:trPr>
        <w:tc>
          <w:tcPr>
            <w:tcW w:w="4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Eliminated Supermajority Voting Provisions from our</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At our 2020 annual meeting of stockholders, our Board submitted a proposal to our</w:t>
            </w:r>
          </w:p>
        </w:tc>
      </w:tr>
      <w:tr>
        <w:trPr>
          <w:trHeight w:val="220"/>
        </w:trPr>
        <w:tc>
          <w:tcPr>
            <w:tcW w:w="4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to eliminate all of the supermajority voting provisions from the Company’s</w:t>
            </w:r>
          </w:p>
        </w:tc>
      </w:tr>
      <w:tr>
        <w:trPr>
          <w:trHeight w:val="234"/>
        </w:trPr>
        <w:tc>
          <w:tcPr>
            <w:tcW w:w="4300" w:type="dxa"/>
            <w:vAlign w:val="bottom"/>
            <w:tcBorders>
              <w:right w:val="single" w:sz="8" w:color="auto"/>
            </w:tcBorders>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which our stockholders overwhelmingly approved.</w:t>
            </w:r>
          </w:p>
        </w:tc>
      </w:tr>
      <w:tr>
        <w:trPr>
          <w:trHeight w:val="67"/>
        </w:trPr>
        <w:tc>
          <w:tcPr>
            <w:tcW w:w="4300" w:type="dxa"/>
            <w:vAlign w:val="bottom"/>
            <w:tcBorders>
              <w:bottom w:val="single" w:sz="8" w:color="auto"/>
              <w:right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r>
      <w:tr>
        <w:trPr>
          <w:trHeight w:val="465"/>
        </w:trPr>
        <w:tc>
          <w:tcPr>
            <w:tcW w:w="4300" w:type="dxa"/>
            <w:vAlign w:val="bottom"/>
          </w:tcPr>
          <w:p>
            <w:pPr>
              <w:spacing w:after="0"/>
              <w:rPr>
                <w:sz w:val="24"/>
                <w:szCs w:val="24"/>
                <w:color w:val="auto"/>
              </w:rPr>
            </w:pPr>
          </w:p>
        </w:tc>
        <w:tc>
          <w:tcPr>
            <w:tcW w:w="6940" w:type="dxa"/>
            <w:vAlign w:val="bottom"/>
          </w:tcPr>
          <w:p>
            <w:pPr>
              <w:jc w:val="right"/>
              <w:ind w:right="5409"/>
              <w:spacing w:after="0"/>
              <w:rPr>
                <w:sz w:val="20"/>
                <w:szCs w:val="20"/>
                <w:color w:val="auto"/>
              </w:rPr>
            </w:pPr>
            <w:r>
              <w:rPr>
                <w:rFonts w:ascii="Times New Roman" w:cs="Times New Roman" w:eastAsia="Times New Roman" w:hAnsi="Times New Roman"/>
                <w:sz w:val="22"/>
                <w:szCs w:val="22"/>
                <w:color w:val="auto"/>
              </w:rPr>
              <w:t>14</w:t>
            </w:r>
          </w:p>
        </w:tc>
      </w:tr>
      <w:tr>
        <w:trPr>
          <w:trHeight w:val="103"/>
        </w:trPr>
        <w:tc>
          <w:tcPr>
            <w:tcW w:w="430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43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43840"/>
                    </a:xfrm>
                    <a:prstGeom prst="rect">
                      <a:avLst/>
                    </a:prstGeom>
                    <a:noFill/>
                  </pic:spPr>
                </pic:pic>
              </a:graphicData>
            </a:graphic>
          </wp:anchor>
        </w:drawing>
        <w:t>STOCKHOLDER RIGHTS</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6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tc>
        <w:tc>
          <w:tcPr>
            <w:tcW w:w="66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Board adopted a policy that any incumbent nominee for director who does not receive</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affirmative vote of a majority of the votes cast in any uncontested election must</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promptly offer to resign. The Nominating, Governance and Sustainability Committee will</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make a recommendation on the offer and the Board will decide whether to accept or reject</w:t>
            </w:r>
          </w:p>
        </w:tc>
      </w:tr>
      <w:tr>
        <w:trPr>
          <w:trHeight w:val="234"/>
        </w:trPr>
        <w:tc>
          <w:tcPr>
            <w:tcW w:w="464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offer.</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r>
      <w:tr>
        <w:trPr>
          <w:trHeight w:val="277"/>
        </w:trPr>
        <w:tc>
          <w:tcPr>
            <w:tcW w:w="4640" w:type="dxa"/>
            <w:vAlign w:val="bottom"/>
            <w:tcBorders>
              <w:left w:val="single" w:sz="8" w:color="auto"/>
              <w:right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2021 Stockholder and Board Actions</w:t>
            </w:r>
          </w:p>
        </w:tc>
        <w:tc>
          <w:tcPr>
            <w:tcW w:w="6600" w:type="dxa"/>
            <w:vAlign w:val="bottom"/>
            <w:tcBorders>
              <w:right w:val="single" w:sz="8" w:color="auto"/>
            </w:tcBorders>
            <w:shd w:val="clear" w:color="auto" w:fill="E6E6E6"/>
          </w:tcPr>
          <w:p>
            <w:pPr>
              <w:spacing w:after="0"/>
              <w:rPr>
                <w:sz w:val="24"/>
                <w:szCs w:val="24"/>
                <w:color w:val="auto"/>
              </w:rPr>
            </w:pPr>
          </w:p>
        </w:tc>
      </w:tr>
      <w:tr>
        <w:trPr>
          <w:trHeight w:val="68"/>
        </w:trPr>
        <w:tc>
          <w:tcPr>
            <w:tcW w:w="4640" w:type="dxa"/>
            <w:vAlign w:val="bottom"/>
            <w:tcBorders>
              <w:left w:val="single" w:sz="8" w:color="auto"/>
              <w:bottom w:val="single" w:sz="8" w:color="auto"/>
              <w:right w:val="single" w:sz="8" w:color="E6E6E6"/>
            </w:tcBorders>
            <w:shd w:val="clear" w:color="auto" w:fill="E6E6E6"/>
          </w:tcPr>
          <w:p>
            <w:pPr>
              <w:spacing w:after="0"/>
              <w:rPr>
                <w:sz w:val="5"/>
                <w:szCs w:val="5"/>
                <w:color w:val="auto"/>
              </w:rPr>
            </w:pPr>
          </w:p>
        </w:tc>
        <w:tc>
          <w:tcPr>
            <w:tcW w:w="6600" w:type="dxa"/>
            <w:vAlign w:val="bottom"/>
            <w:tcBorders>
              <w:bottom w:val="single" w:sz="8" w:color="auto"/>
              <w:right w:val="single" w:sz="8" w:color="auto"/>
            </w:tcBorders>
            <w:shd w:val="clear" w:color="auto" w:fill="E6E6E6"/>
          </w:tcPr>
          <w:p>
            <w:pPr>
              <w:spacing w:after="0"/>
              <w:rPr>
                <w:sz w:val="5"/>
                <w:szCs w:val="5"/>
                <w:color w:val="auto"/>
              </w:rPr>
            </w:pPr>
          </w:p>
        </w:tc>
      </w:tr>
      <w:tr>
        <w:trPr>
          <w:trHeight w:val="259"/>
        </w:trPr>
        <w:tc>
          <w:tcPr>
            <w:tcW w:w="4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Majority Voting Standard for Director Elections</w:t>
            </w: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Before the Company’s 2021 annual meeting of stockholders, our Board amended our</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Bylaws to implement a majority voting standard for director elections in uncontested</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elections and a plurality voting standard in contested elections. Our previous Bylaws</w:t>
            </w:r>
          </w:p>
        </w:tc>
      </w:tr>
      <w:tr>
        <w:trPr>
          <w:trHeight w:val="234"/>
        </w:trPr>
        <w:tc>
          <w:tcPr>
            <w:tcW w:w="464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provided for a plurality voting standard.</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r>
      <w:tr>
        <w:trPr>
          <w:trHeight w:val="259"/>
        </w:trPr>
        <w:tc>
          <w:tcPr>
            <w:tcW w:w="4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Tenure Policy</w:t>
            </w: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Before the Company’s 2021 annual meeting of stockholders, our Board adopted a director</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retirement policy that provides that non-employee directors will not be nominated for re-</w:t>
            </w:r>
          </w:p>
        </w:tc>
      </w:tr>
      <w:tr>
        <w:trPr>
          <w:trHeight w:val="234"/>
        </w:trPr>
        <w:tc>
          <w:tcPr>
            <w:tcW w:w="464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election to the Board after reaching age 75.</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r>
      <w:tr>
        <w:trPr>
          <w:trHeight w:val="259"/>
        </w:trPr>
        <w:tc>
          <w:tcPr>
            <w:tcW w:w="4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Declassification of the Board of Directors by 2025</w:t>
            </w: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the Company’s 2021 proxy statement, our Board submitted a proposal to be voted on by</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stockholders to fully declassify the Board by 2025, which our stockholders</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overwhelmingly approved. Our Certificate of Incorporation currently divides our Board</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into three classes, with one class being elected each year. Our Board will be fully</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declassified by the annual meeting to be held in 2025, with each director to be elected on</w:t>
            </w:r>
          </w:p>
        </w:tc>
      </w:tr>
      <w:tr>
        <w:trPr>
          <w:trHeight w:val="234"/>
        </w:trPr>
        <w:tc>
          <w:tcPr>
            <w:tcW w:w="464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 annual basis thereafter.</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r>
      <w:tr>
        <w:trPr>
          <w:trHeight w:val="277"/>
        </w:trPr>
        <w:tc>
          <w:tcPr>
            <w:tcW w:w="4640" w:type="dxa"/>
            <w:vAlign w:val="bottom"/>
            <w:tcBorders>
              <w:left w:val="single" w:sz="8" w:color="auto"/>
              <w:right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Stockholder and Board Actions</w:t>
            </w:r>
          </w:p>
        </w:tc>
        <w:tc>
          <w:tcPr>
            <w:tcW w:w="6600" w:type="dxa"/>
            <w:vAlign w:val="bottom"/>
            <w:tcBorders>
              <w:right w:val="single" w:sz="8" w:color="auto"/>
            </w:tcBorders>
            <w:shd w:val="clear" w:color="auto" w:fill="DDDDDD"/>
          </w:tcPr>
          <w:p>
            <w:pPr>
              <w:spacing w:after="0"/>
              <w:rPr>
                <w:sz w:val="24"/>
                <w:szCs w:val="24"/>
                <w:color w:val="auto"/>
              </w:rPr>
            </w:pPr>
          </w:p>
        </w:tc>
      </w:tr>
      <w:tr>
        <w:trPr>
          <w:trHeight w:val="67"/>
        </w:trPr>
        <w:tc>
          <w:tcPr>
            <w:tcW w:w="4640" w:type="dxa"/>
            <w:vAlign w:val="bottom"/>
            <w:tcBorders>
              <w:left w:val="single" w:sz="8" w:color="auto"/>
              <w:bottom w:val="single" w:sz="8" w:color="auto"/>
              <w:right w:val="single" w:sz="8" w:color="DDDDDD"/>
            </w:tcBorders>
            <w:shd w:val="clear" w:color="auto" w:fill="DDDDDD"/>
          </w:tcPr>
          <w:p>
            <w:pPr>
              <w:spacing w:after="0"/>
              <w:rPr>
                <w:sz w:val="5"/>
                <w:szCs w:val="5"/>
                <w:color w:val="auto"/>
              </w:rPr>
            </w:pPr>
          </w:p>
        </w:tc>
        <w:tc>
          <w:tcPr>
            <w:tcW w:w="6600" w:type="dxa"/>
            <w:vAlign w:val="bottom"/>
            <w:tcBorders>
              <w:bottom w:val="single" w:sz="8" w:color="auto"/>
              <w:right w:val="single" w:sz="8" w:color="auto"/>
            </w:tcBorders>
            <w:shd w:val="clear" w:color="auto" w:fill="DDDDDD"/>
          </w:tcPr>
          <w:p>
            <w:pPr>
              <w:spacing w:after="0"/>
              <w:rPr>
                <w:sz w:val="5"/>
                <w:szCs w:val="5"/>
                <w:color w:val="auto"/>
              </w:rPr>
            </w:pPr>
          </w:p>
        </w:tc>
      </w:tr>
      <w:tr>
        <w:trPr>
          <w:trHeight w:val="259"/>
        </w:trPr>
        <w:tc>
          <w:tcPr>
            <w:tcW w:w="4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Proxy Access</w:t>
            </w: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June 2022, the Board amended the Company’s Bylaws to incorporate a provision that</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permits a stockholder, or a group of up to 20 stockholders, owning at least 3% of our</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outstanding common stock for three years, to nominate a certain percentage of the directors</w:t>
            </w:r>
          </w:p>
        </w:tc>
      </w:tr>
      <w:tr>
        <w:trPr>
          <w:trHeight w:val="234"/>
        </w:trPr>
        <w:tc>
          <w:tcPr>
            <w:tcW w:w="464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Company’s Board.</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r>
      <w:tr>
        <w:trPr>
          <w:trHeight w:val="255"/>
        </w:trPr>
        <w:tc>
          <w:tcPr>
            <w:tcW w:w="4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 Right to Request the Company Call a Special</w:t>
            </w: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the Company’s 2022 proxy statement, our Board submitted a proposal to be voted on by</w:t>
            </w:r>
          </w:p>
        </w:tc>
      </w:tr>
      <w:tr>
        <w:trPr>
          <w:trHeight w:val="220"/>
        </w:trPr>
        <w:tc>
          <w:tcPr>
            <w:tcW w:w="46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Meeting</w:t>
            </w: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stockholders to allow stockholders the ability to make a request to the Company to call</w:t>
            </w:r>
          </w:p>
        </w:tc>
      </w:tr>
      <w:tr>
        <w:trPr>
          <w:trHeight w:val="234"/>
        </w:trPr>
        <w:tc>
          <w:tcPr>
            <w:tcW w:w="464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 meetings, which our stockholders overwhelmingly approved.</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&amp; Whistleblower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adopted a written General Code of Ethics (“General Code”) which applies to all of our directors, officers and other employees, including our principal executive officer, principal financial officer and controller. In addition, we adopted a written Code of Ethics for Executive Officers and Principal Accounting Personnel (“Code of Ethics”) which applies to our principal executive officer, principal financial officer, controller and other designated members of our management. Copies of each code are available on our corporate website at </w:t>
      </w:r>
      <w:r>
        <w:rPr>
          <w:rFonts w:ascii="Times New Roman" w:cs="Times New Roman" w:eastAsia="Times New Roman" w:hAnsi="Times New Roman"/>
          <w:sz w:val="18"/>
          <w:szCs w:val="18"/>
          <w:i w:val="1"/>
          <w:iCs w:val="1"/>
          <w:color w:val="auto"/>
        </w:rPr>
        <w:t>www.freshpet.com</w:t>
      </w:r>
      <w:r>
        <w:rPr>
          <w:rFonts w:ascii="Times New Roman" w:cs="Times New Roman" w:eastAsia="Times New Roman" w:hAnsi="Times New Roman"/>
          <w:sz w:val="18"/>
          <w:szCs w:val="18"/>
          <w:color w:val="auto"/>
        </w:rPr>
        <w:t>. The information contained on our website does not constitute a part of this report. We will provide any person, without charge, upon request, a copy of our General Code or Code of Ethics. Such requests should be made in writing to the attention of our Corporate Secretary at the following address: Freshpet, Inc., 400 Plaza Drive, 1st Floor, Secaucus, New Jersey 07094.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Freshpet has a zero-tolerance policy for bribery and corruption. The Board established a robust Whistleblower Policy to set optimal procedures with regard to reports of concerns made by employees and other parties, and to protect whistleblowers against harassment or retaliation. The Whistleblower line is monitored directly by our CEO and Senior Vice President of Human Resources and is reported to the Audit Committee quarterly.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Freshpet received four inquiries on the Whistleblower line in 2022 from callers based within our manufacturing Kitchens. The inquiries related to hourly employee shift concerns and were investigated internally or by an independent labor attorney. Remedial actions were taken to address the employee concerns and all inquiries have been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executive officers and persons who beneficially own more than 10 percent of the Company’s common stock (collectively, “Reporting Persons”) to file with the SEC initial reports of ownership and changes in ownership of the Company’s common stock. Based solely on its review of the copies of such reports received or written representations from certain Reporting Persons that no other reports were required, the Company believes that during its fiscal year ended December 31, 2022 all filing requirements applicable to the Reporting Persons were timely met except (i) Mr. Macchiaverna did not timely file Forms 4 in connection with tax withholdings of shares of common stock on March 12, 2022 and April 1, 2022, (ii) Mr. Walsh did not timely file a Form 4 in connection with a tax withholding of shares of common stock on March 12, 2022, and (iii) Mr. Garcia did not timely file Forms 4 in connection with tax withholdings of shares of common stock on March 12, 2022 and April 1, 2022 and receipt of a grant of restricted shares of common stock on March 14, 2022, in each case due to administrative oversight.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to Human Capital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Freshpet, our vision is to create a happier, healthier world where pets, people and the planet thrive. Our purpose, combined with a focus on delivering on our commitments, allows us to offer a differentiated value proposition to our employees – a place where you can do good and do well at the same time. We know that our people are our enduring advantage and we are obsessed in our mission to ensure that all people who touch Freshpet are better in some way. We strive to be the place where people love to work and we encourage everyone to grow, have fun and deliver on our vision. Our overall people strategy is designed to attract, develop and retain the best qualified employees to meet our business goals on an ongoing basis and to execute our growth strategy. We do this through practices that promote inclusion, provide development opportunities for employees across the organization and provide competitive rewards and benefits. We also believe that having an engaged, diverse and committed workforce not only enhances our culture but also drives our business success.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Freshpet had employed 1004 team members, an increase of approximately 26% from one year earlier, based across our three locations of Bethlehem, Pennsylvania, Secaucus, New Jersey, and Ennis, Texas. In Europe, Freshpet has also employed seven employees. None of our employees are represented by a labor union or covered by a collective bargaining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workforce consists of approximately 680 hourly production employees, 217 salaried and managerial employees in manufacturing and 114 salaried and managerial employees in other functions, such as Marketing, Finance, Sales, Consumer Care, and other support and distribution roles.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Employee Engagement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Freshpet achieved an engagement score of 78% with a total participation rate of 66%. Our Net Promoter score was 8.0. While this represents a 0.3 point decline from our previous survey (2020), we believe that the positive score continues to demonstrate our employees' positive perception about the future of Freshpet and strong belief in our vision.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Freshpet, our programs are designed to reward and support employees through competitive pay, creative incentive programs and generous benefits. We strive to ensure that our benefit offerings meet the evolving needs of our diverse workforce across all of our locations. In 2021, labor shortages driven by factors relating to the pandemic forced us to rethink our approach to attracting and retaining the right talent in the business. Freshpet rolled out a wage increase program that was closely tied to skills development and career progression. We wanted to ensure that our entry wages remained competitive, but also provided a clear path for career growth and progression. The program was designed to ensure that we build the right processing and packaging skills in our Freshpet Kitchens, while providing an accelerated path to higher wages and wealth creation through incremental stock grants. We believe that our approach to Human Capital management and work force planning has become a competitive advantage for the company, with clear improvements in the caliber of our new hires and the enhancements to our training which has resulted in reduced labor turnover, improvements in our safety standards, costs and quality. In 2022 the percentage of employees with tenure less than 6-months with the company decreased by 41% from the prior year; and retention of hourly employees with tenure greater that 1-year increased by 49%. This outstanding result has contributed significantly to the stability within the production workforce and impacted employee morale and productivity. In 2022 Freshpet also temporarily relocated and trained 114 hires from our Ennis Facility to our Pennsylvania plant, providing them with the opportunity to work on the production lines and learn how to make the products while Ennis was under construction. This has enabled the company to fast track the employee training and get them ready ahead of a traditional start-up schedule. All of these improvements have led to a stronger, highly skilled and engaged workforce.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further strengthen the employer value proposition, Freshpet continues to evolve its benefits programs taking into consideration the changing needs of our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promote a strong culture of safety and prioritize keeping a safe working environment, we employ comprehensive health, safety and environment management policies and standards throughout the organization. In addition, we strive to continuously improve our work processes, tools and metrics to reduce workplace injuries and enhance safety.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Freshpet's founding, safety has been ingrained in our culture. We have invested heavily in maintaining a safe and healthy workplace for our employees and take a proactive approach to ensuring that the work environment supports our "safety first" mission. The safety of our team members is a core value of our operation and will guide us to our goal of becoming a leader in team member safety. We continue to provide the services of bi-lingual on-site industrial athletic trainers who work with our team on health-related issues. This has become a popular and heavily utilized resource for our team for both work-related and non-work-related issues.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late 2022, we committed to a new "Safety Excellence" program that will drive employee engagement in the safety improvement process. This program formally kicked off in January of 2023 and has already resulted in significant improvements as we have experienced the longest stretch without a lost-time injury since 2018 when we had significantly less team members.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Freshpet team continues to monitor and evaluate injury rates, safety observations and near-misses, and takes proactive steps to ensure safety is paramount in all our planning. All of these efforts have led to a near </w:t>
      </w:r>
      <w:r>
        <w:rPr>
          <w:rFonts w:ascii="Times New Roman" w:cs="Times New Roman" w:eastAsia="Times New Roman" w:hAnsi="Times New Roman"/>
          <w:sz w:val="18"/>
          <w:szCs w:val="18"/>
          <w:b w:val="1"/>
          <w:bCs w:val="1"/>
          <w:color w:val="auto"/>
        </w:rPr>
        <w:t>30% reduction</w:t>
      </w:r>
      <w:r>
        <w:rPr>
          <w:rFonts w:ascii="Times New Roman" w:cs="Times New Roman" w:eastAsia="Times New Roman" w:hAnsi="Times New Roman"/>
          <w:sz w:val="18"/>
          <w:szCs w:val="18"/>
          <w:color w:val="auto"/>
        </w:rPr>
        <w:t xml:space="preserve"> in total reported incidents between 2021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 diverse workforce is critical to our success, and our goal is to create a culture where we provide equal and fair opportunities for all of our employees. Our values are reflected in our diverse workforce, and we believe that our competitive advantage lies in our diversity of thought, creativity in solving systemic problems and strengthening our partnerships with pet-caring organizations and the communities in which we live. All employees have access to opportunities that enable them to contribute and grow. Our focus on diversity helps us connect with our consumers, attract and develop employees who are eager to leverage multiple perspectives to solve complex challenges, and innovate to allow Freshpet to remain competitive.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Our staff across all of our Freshpet locations reflect a diverse mix of approximately 54% white, 32% Hispanic, 9% African American and 5% other ethnicities. Women represent 29% of our total employee population. At the Board level, of the nine non-executive members of the Board, three are women. One of the members of the Board is African American.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Freshpet offers a comprehensive collection of benefits designed to make Freshpet competitive within the talent pools from which it recruits. All Freshpet employees are eligible for the same benefits regardless of title. In order to incentivize and engage our workforce, Freshpet provides:</w:t>
      </w:r>
    </w:p>
    <w:p>
      <w:pPr>
        <w:sectPr>
          <w:pgSz w:w="11900" w:h="16838" w:orient="portrait"/>
          <w:cols w:equalWidth="0" w:num="1">
            <w:col w:w="11240"/>
          </w:cols>
          <w:pgMar w:left="320" w:top="580" w:right="339" w:bottom="1440" w:gutter="0" w:footer="0" w:header="0"/>
        </w:sectPr>
      </w:pPr>
    </w:p>
    <w:p>
      <w:pPr>
        <w:spacing w:after="0" w:line="162" w:lineRule="exact"/>
        <w:rPr>
          <w:sz w:val="20"/>
          <w:szCs w:val="20"/>
          <w:color w:val="auto"/>
        </w:rPr>
      </w:pPr>
    </w:p>
    <w:p>
      <w:pPr>
        <w:ind w:left="820" w:hanging="488"/>
        <w:spacing w:after="0" w:line="266" w:lineRule="auto"/>
        <w:tabs>
          <w:tab w:leader="none" w:pos="8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Industry-leading compensation, including stock compensation for every employee (granted after 12-months of continuous employment for hourly employees)</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8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Multi-year equity grants to “One-of -a-Kind Talent” employees identified by the Board</w:t>
      </w:r>
    </w:p>
    <w:p>
      <w:pPr>
        <w:spacing w:after="0" w:line="161"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matching for every employee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32" w:right="40" w:hanging="332"/>
        <w:spacing w:after="0" w:line="282" w:lineRule="auto"/>
        <w:tabs>
          <w:tab w:leader="none" w:pos="5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Industry-leading healthcare offered equitably for every employee (including pet insurance)</w:t>
      </w:r>
    </w:p>
    <w:p>
      <w:pPr>
        <w:spacing w:after="0" w:line="161" w:lineRule="exact"/>
        <w:rPr>
          <w:rFonts w:ascii="Times New Roman" w:cs="Times New Roman" w:eastAsia="Times New Roman" w:hAnsi="Times New Roman"/>
          <w:sz w:val="18"/>
          <w:szCs w:val="18"/>
          <w:color w:val="auto"/>
        </w:rPr>
      </w:pPr>
    </w:p>
    <w:p>
      <w:pPr>
        <w:jc w:val="both"/>
        <w:ind w:left="492" w:right="300" w:hanging="492"/>
        <w:spacing w:after="0" w:line="312" w:lineRule="auto"/>
        <w:tabs>
          <w:tab w:leader="none" w:pos="51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perquisites, including pet insurance, free healthy snack room and catered lunches (including ice cream Fridays)</w:t>
      </w:r>
    </w:p>
    <w:p>
      <w:pPr>
        <w:spacing w:after="0" w:line="13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Parental leave</w:t>
      </w:r>
    </w:p>
    <w:p>
      <w:pPr>
        <w:spacing w:after="0" w:line="225"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w:t>
      </w:r>
    </w:p>
    <w:p>
      <w:pPr>
        <w:spacing w:after="0" w:line="200" w:lineRule="exact"/>
        <w:rPr>
          <w:sz w:val="20"/>
          <w:szCs w:val="20"/>
          <w:color w:val="auto"/>
        </w:rPr>
      </w:pPr>
    </w:p>
    <w:p>
      <w:pPr>
        <w:sectPr>
          <w:pgSz w:w="11900" w:h="16838" w:orient="portrait"/>
          <w:cols w:equalWidth="0" w:num="2">
            <w:col w:w="5580" w:space="408"/>
            <w:col w:w="5252"/>
          </w:cols>
          <w:pgMar w:left="320" w:top="58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allow each employee to take home one package of Freshpet each day to feed their pet or the pet of someone close to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Recruitment and Talent Management</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Freshpet aggressively recruits talent to fill our rapidly growing manufacturing operations. We have three full-time recruiters on staff who screen potential new hires and conduct their on-boarding training. We advertise on social media, billboards and radio and use a variety of job referral services to attract the skilled labor we require.</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To fill the increasing managerial roles arising from Freshpet’s growth, we also use third-party recruiters who are experts on what makes Freshpet unique and have a deep understanding of our culture and requirements. These recruiters have successfully helped us to fill a wide range of roles with a focus on increasing the diversity of our managerial ranks.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executive level, the Compensation Committee, together with the CEO and SVP of HR, regularly reviews senior management talent, including readiness to take on additional leadership roles and developmental opportunities needed to prepare leaders for greater responsibilities. Plans are focused on developing our mid-level next generation of talent into future leaders, and we have invested in their development and retention. We are committed to offering job specific training and general leadership development programs, as well as tuition reimbursement to all of our employees to promote continued professional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 (CD&amp;A)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CD&amp;A describes the material elements of compensation awarded to, earned by, or paid to each of our named executive officers (or NEOs). This CD&amp;A also describes Freshpet’s philosophy behind and objectives for executive compensation, as well as the manner in which the Company awards, and our NEOs earn, such compensation. Finally, this CD&amp;A is intended to supplement the data presented in the 2022 Summary Compensation Table and other compensation tables that follow the CD&amp;A.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lists our NEOs for 2022, which is the group consisting of each individual who served as our Chief Executive Officer or Chief Financial Officer during 2022, and our three other most highly compensated executive officers who were serving as executive officers on December 31, 2022.</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400" w:type="dxa"/>
            <w:vAlign w:val="bottom"/>
            <w:tcBorders>
              <w:top w:val="single" w:sz="8" w:color="auto"/>
              <w:left w:val="single" w:sz="8" w:color="auto"/>
              <w:bottom w:val="single" w:sz="8" w:color="auto"/>
              <w:right w:val="single" w:sz="8" w:color="auto"/>
            </w:tcBorders>
            <w:shd w:val="clear" w:color="auto" w:fill="E6E6E6"/>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60" w:type="dxa"/>
            <w:vAlign w:val="bottom"/>
            <w:tcBorders>
              <w:top w:val="single" w:sz="8" w:color="auto"/>
              <w:bottom w:val="single" w:sz="8" w:color="auto"/>
              <w:right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r>
      <w:tr>
        <w:trPr>
          <w:trHeight w:val="193"/>
        </w:trPr>
        <w:tc>
          <w:tcPr>
            <w:tcW w:w="240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color w:val="auto"/>
              </w:rPr>
              <w:t>William B. Cyr</w:t>
            </w:r>
          </w:p>
        </w:tc>
        <w:tc>
          <w:tcPr>
            <w:tcW w:w="88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09"/>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Scott Morris</w:t>
            </w:r>
          </w:p>
        </w:tc>
        <w:tc>
          <w:tcPr>
            <w:tcW w:w="8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09"/>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Todd Cunfer</w:t>
            </w:r>
          </w:p>
        </w:tc>
        <w:tc>
          <w:tcPr>
            <w:tcW w:w="8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 (Current - Joined 12/01/2022)</w:t>
            </w:r>
          </w:p>
        </w:tc>
      </w:tr>
      <w:tr>
        <w:trPr>
          <w:trHeight w:val="210"/>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Thembeka Machaba</w:t>
            </w:r>
          </w:p>
        </w:tc>
        <w:tc>
          <w:tcPr>
            <w:tcW w:w="8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09"/>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Cathal Walsh</w:t>
            </w:r>
          </w:p>
        </w:tc>
        <w:tc>
          <w:tcPr>
            <w:tcW w:w="8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 Managing Director of Europe</w:t>
            </w:r>
          </w:p>
        </w:tc>
      </w:tr>
      <w:tr>
        <w:trPr>
          <w:trHeight w:val="210"/>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Richard Kassar</w:t>
            </w:r>
          </w:p>
        </w:tc>
        <w:tc>
          <w:tcPr>
            <w:tcW w:w="8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Interim Chief Financial Officer (9/8/2022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11/30/2022)</w:t>
            </w:r>
          </w:p>
        </w:tc>
      </w:tr>
      <w:tr>
        <w:trPr>
          <w:trHeight w:val="209"/>
        </w:trPr>
        <w:tc>
          <w:tcPr>
            <w:tcW w:w="2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Heather Pomerantz</w:t>
            </w:r>
          </w:p>
        </w:tc>
        <w:tc>
          <w:tcPr>
            <w:tcW w:w="8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(Departed: 9/07/2022)</w:t>
            </w:r>
          </w:p>
        </w:tc>
      </w:tr>
      <w:tr>
        <w:trPr>
          <w:trHeight w:val="42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Leadership Changes</w:t>
            </w:r>
          </w:p>
        </w:tc>
        <w:tc>
          <w:tcPr>
            <w:tcW w:w="8860" w:type="dxa"/>
            <w:vAlign w:val="bottom"/>
          </w:tcPr>
          <w:p>
            <w:pPr>
              <w:spacing w:after="0"/>
              <w:rPr>
                <w:sz w:val="24"/>
                <w:szCs w:val="24"/>
                <w:color w:val="auto"/>
              </w:rPr>
            </w:pPr>
          </w:p>
        </w:tc>
      </w:tr>
    </w:tbl>
    <w:p>
      <w:pPr>
        <w:spacing w:after="0" w:line="19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 xml:space="preserve">On September 7, 2022, Freshpet Chief Financial Officer </w:t>
      </w:r>
      <w:r>
        <w:rPr>
          <w:rFonts w:ascii="Times New Roman" w:cs="Times New Roman" w:eastAsia="Times New Roman" w:hAnsi="Times New Roman"/>
          <w:sz w:val="18"/>
          <w:szCs w:val="18"/>
          <w:b w:val="1"/>
          <w:bCs w:val="1"/>
          <w:color w:val="auto"/>
        </w:rPr>
        <w:t>Heather Pomerantz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employment ended with the company amicably. Ms. Pomerantz was provided with a severance package, including, amongst other items, 12 months of salary continuation as well as eligibility to continue health insurance under COBRA. See “2022 Summary Compensation Table” for additional disclosure on Ms. Pomerantz’s severance arrangements.</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 xml:space="preserve">On September 8, 2022, Freshpet Vice Chairman and former CFO </w:t>
      </w:r>
      <w:r>
        <w:rPr>
          <w:rFonts w:ascii="Times New Roman" w:cs="Times New Roman" w:eastAsia="Times New Roman" w:hAnsi="Times New Roman"/>
          <w:sz w:val="18"/>
          <w:szCs w:val="18"/>
          <w:b w:val="1"/>
          <w:bCs w:val="1"/>
          <w:color w:val="auto"/>
        </w:rPr>
        <w:t>Richard Kassar</w:t>
      </w:r>
      <w:r>
        <w:rPr>
          <w:rFonts w:ascii="Times New Roman" w:cs="Times New Roman" w:eastAsia="Times New Roman" w:hAnsi="Times New Roman"/>
          <w:sz w:val="18"/>
          <w:szCs w:val="18"/>
          <w:color w:val="auto"/>
        </w:rPr>
        <w:t xml:space="preserve"> began serving as Interim Chief Financial Officer. Mr. Kassar served in this position until November 30, 2022, at which time Mr. Kassar resumed his role as Vice Chairman of the Company.</w:t>
      </w:r>
    </w:p>
    <w:p>
      <w:pPr>
        <w:spacing w:after="0" w:line="15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color w:val="auto"/>
        </w:rPr>
        <w:t xml:space="preserve">On December 1, 2022, Freshpet appointed </w:t>
      </w:r>
      <w:r>
        <w:rPr>
          <w:rFonts w:ascii="Times New Roman" w:cs="Times New Roman" w:eastAsia="Times New Roman" w:hAnsi="Times New Roman"/>
          <w:sz w:val="18"/>
          <w:szCs w:val="18"/>
          <w:b w:val="1"/>
          <w:bCs w:val="1"/>
          <w:color w:val="auto"/>
        </w:rPr>
        <w:t>Todd Cunfer</w:t>
      </w:r>
      <w:r>
        <w:rPr>
          <w:rFonts w:ascii="Times New Roman" w:cs="Times New Roman" w:eastAsia="Times New Roman" w:hAnsi="Times New Roman"/>
          <w:sz w:val="18"/>
          <w:szCs w:val="18"/>
          <w:color w:val="auto"/>
        </w:rPr>
        <w:t xml:space="preserve"> as Chief Financial Officer, bringing with him over 25 years of experience in financial planning and analysis, capital structure, treasury, supply chain management, commercial operations and merger and acquisition activity in the consumer-packaged goods industry.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Freshpet also announced five additional leadership changes in 2022:</w:t>
      </w:r>
    </w:p>
    <w:p>
      <w:pPr>
        <w:spacing w:after="0" w:line="27" w:lineRule="exact"/>
        <w:rPr>
          <w:sz w:val="20"/>
          <w:szCs w:val="20"/>
          <w:color w:val="auto"/>
        </w:rPr>
      </w:pPr>
    </w:p>
    <w:p>
      <w:pPr>
        <w:ind w:left="660" w:right="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Jay Dahlgren </w:t>
      </w:r>
      <w:r>
        <w:rPr>
          <w:rFonts w:ascii="Times New Roman" w:cs="Times New Roman" w:eastAsia="Times New Roman" w:hAnsi="Times New Roman"/>
          <w:sz w:val="18"/>
          <w:szCs w:val="18"/>
          <w:color w:val="auto"/>
        </w:rPr>
        <w:t>former Vice President of Operations at The J.M. Smucker Company joined as a consultant to Freshpet to support the ongoing focus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continuous improvement in the Operations and Supply Chain functions. In January of 2023, Jay Dahlgren was appointed as EVP Manufacturing &amp; Supply Chain.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VP of Manufacturing, </w:t>
      </w:r>
      <w:r>
        <w:rPr>
          <w:rFonts w:ascii="Times New Roman" w:cs="Times New Roman" w:eastAsia="Times New Roman" w:hAnsi="Times New Roman"/>
          <w:sz w:val="18"/>
          <w:szCs w:val="18"/>
          <w:b w:val="1"/>
          <w:bCs w:val="1"/>
          <w:color w:val="auto"/>
        </w:rPr>
        <w:t>Ricardo Moreno</w:t>
      </w:r>
      <w:r>
        <w:rPr>
          <w:rFonts w:ascii="Times New Roman" w:cs="Times New Roman" w:eastAsia="Times New Roman" w:hAnsi="Times New Roman"/>
          <w:sz w:val="18"/>
          <w:szCs w:val="18"/>
          <w:color w:val="auto"/>
        </w:rPr>
        <w:t xml:space="preserve"> was appointed to the position of SVP of Manufacturing &amp; Engineering to further strengthen our focus and coordination across the various operational departments as the company continues to grow and expand.</w:t>
      </w: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Michael Hieger, </w:t>
      </w:r>
      <w:r>
        <w:rPr>
          <w:rFonts w:ascii="Times New Roman" w:cs="Times New Roman" w:eastAsia="Times New Roman" w:hAnsi="Times New Roman"/>
          <w:sz w:val="17"/>
          <w:szCs w:val="17"/>
          <w:color w:val="auto"/>
        </w:rPr>
        <w:t>SVP of Engineering, broadened his responsibilities to include all matters relating to capital expansion and Engineering resources.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left="660" w:right="80" w:hanging="328"/>
        <w:spacing w:after="0" w:line="276"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Freshpet further announced the addition of a Senior Vice President of Quality Assurance and Technology role, reporting directly to the CEO. This role will be responsible for delivering improvements to our systems so that we can consistently deliver the high-quality standards of our products.</w:t>
      </w:r>
    </w:p>
    <w:p>
      <w:pPr>
        <w:ind w:left="660" w:right="18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Finally, Freshpet also announced the appointment of </w:t>
      </w:r>
      <w:r>
        <w:rPr>
          <w:rFonts w:ascii="Times New Roman" w:cs="Times New Roman" w:eastAsia="Times New Roman" w:hAnsi="Times New Roman"/>
          <w:sz w:val="18"/>
          <w:szCs w:val="18"/>
          <w:b w:val="1"/>
          <w:bCs w:val="1"/>
          <w:color w:val="auto"/>
        </w:rPr>
        <w:t>Dirk Martin</w:t>
      </w:r>
      <w:r>
        <w:rPr>
          <w:rFonts w:ascii="Times New Roman" w:cs="Times New Roman" w:eastAsia="Times New Roman" w:hAnsi="Times New Roman"/>
          <w:sz w:val="18"/>
          <w:szCs w:val="18"/>
          <w:color w:val="auto"/>
        </w:rPr>
        <w:t xml:space="preserve"> in November 2022, to the role of VP, Logistics &amp; Customer Service, bringing with him over 20 years of experience in logistics and supply chain management including 15 years in food manufacturing.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these changes are designed to strengthen organizational capability and better position Freshpet to stay ahead of anticipated rapid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philosophy is to align our executive compensation with the interests of our stockholders by basing our fundamental compensation decisions on financial objectives that our Board believes have a significant impact on long-term stockholder value. An important goal of our executive compensation program is to support our ability to hire and retain talented and experienced executives who are motivated to achieve or exceed our short-term and long-term corporate goals. Our executive compensation program is designed to reinforce a strong pay-for-performance orientation and to serve the following purposes:</w:t>
      </w:r>
    </w:p>
    <w:p>
      <w:pPr>
        <w:spacing w:after="0" w:line="18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reward our NEOs for sustained financial and operating performance and strong leadership;</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our NEOs’ interests with the interests of our stockholders;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encourage our successful NEOs to remain with us for the long term.</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Underpinning our compensation philosophy is the belief that Freshpet is a growth company with the potential to have a significant impact on the pet food industry. We believe that achieving that potential should result in value creation for our stockholders. Thus, we believe that management’s incentives, our annual goals, and our longer-term goals set by the Compensation Committee of the Board (the “Compensation Committee”) and the Board should be designed to reflect that growth orientation.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has numerous tools at its disposal to help Freshpet accomplish its short- and long-term performance goals. The Committee generally chooses to utilize those tools as follows in its administration and oversight of our executive compensation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Relevant Peer Group</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selects a peer group for compensation comparison purposes that includes a blend of comparably-sized companies in similar industries, including pet-related companies—our most likely sources of talent to support our growth. The Committee also adds to this peer group companies experiencing significant growth to help ensure that our compensation practices are competitive with and relevant to the circumstances found in growth-oriented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peer group data for overall compensation and for specific elements of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 “Compensation Discussion and Analysis – Peer Group”).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Portion of Compensation as Equity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award a significant portion of executive compensation in the form of equity awards, as we believe this is an effective way to help management focus on our long-term goals while also aligning stockholder and management interests. A meaningful portion of our executive compensation consists of stock option awards, which have no value to the recipient unless our stock price rises following the date of the grant.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Long-Term Goal Setting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the Company set new long-term goals and issued significant multi-year grants to the current leadership and the leading candidates to be the next generation of leadership within the Company. The 2020 program included aggressive growth goals, and the Company believes that delivery of those goals would generate significant long-term value creation for the Company and its investors. For the NEOs, the equity grants were 75% performance-based (with 50% of such performance-based options vesting based on achieving certain Adjusted EBITDA performance-based conditions and 50% vesting based on net sales performance-based conditions) and 25% time-based (with vesting occurring in annual installments over a four-year period of 20%, 40%, 60%, 100%) and replaced all annual grants for the next four years for those individuals. In light of the awards made in 2020, no additional equity grants were made in 2021 or 2022 to NEOs who participated in the 2020 multi-year grant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Encouraging Teamwork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strongly believe that teamwork among our workforce is essential to help us achieve our long-term growth potential. Thus, all bonus-eligible employees —including our NEOs—are compensated using the same bonus formula. All employees earn the same percentage of his or her target award each year, assuming there are no outstanding, individual performance issues. We believe that this creates an “all-for-one and one-for-all” mentality within Freshpet that allows individual employees to make the right choices for the Company without regard to their impact on the achievement of less important functional or personal goals.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Incentivizing Sales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set what we believe to be aggressive net sales growth and profitability targets for management each year and our annual incentive plan formula places equal value on the achievement of those net sales growth targets versus profitability goals. We believe that this design incentivizes our management to drive sales growth in concert with profit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Say-on-Pay Vote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its compensation review process, the Compensation Committee considers whether the Company’s executive compensation program is aligned with the interests of the Company’s stockholders. As part of its review of the Company’s executive compensation program, the Compensation Committee considered the approval by approximately 96% of the votes cast for the Company’s say-on-pay vote at our 2022 Annual Meeting of Stockholders. The Compensation Committee determined that the Company’s executive compensation philosophies and objectives and compensation elements continued to be appropriate and did not make any changes to the Company’s executive compensation program in response to the 2022 say-on-pay vote.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Elements of Our Executive Compensation Program are Related to Each Other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various components of our compensation program are related but distinct and are designed to emphasize “pay for performance,” with a significant portion of total compensation at-risk, tied to our long-term and short-term financial and strategic goals. Our compensation philosophy is designed to foster entrepreneurship at all levels of the organization and is focused on employee value and retention by making long-term, equity-based incentive opportunities a substantial component of our executive compensation. The level for each compensation component is based in part, but not exclusively, on internal equity and consistency, experience, and responsibilities, and other relevant considerations such as rewarding extraordinary performance. The Compensation Committee has not adopted any formal or informal policies or guidelines for allocating compensation between long-term and currently paid compensation, between cash and non-cash compensation, or among different forms of non-cash compensation.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Independent Compensation Consultant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2019 through 2022, the Compensation Committee retained Korn Ferry (“KF”) to advise on compensation practices for our executive officers, including each NEO. Specifically, KF was engaged to review our compensation peer group and our compensation structure for our executive officers, develop and recommend targets for our executive compensation program by analyzing the compensation structures of our peer group companies and market trends, and provide advice to the Compensation Committee on our executive compensation structure and program based on KF’s analysis. KF was also engaged to separately review the compensation arrangements applicable to employees at the director level and above, and the non-employee, independent directors of the Board. In 2022, the Compensation Committee, in consultation with KF, decided to include an ESG goal for the Freshpet executive team which would further reinforce the organization's commitment to doing right by Pets, People and the Planet. The compensation committee approved the 2022 goal, which focused on "Employee Retention", as outlined below under Executive ESG Goal.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in consultation with KF, considered several factors in selecting an industry-specific compensation peer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Considerations generally included the following:</w:t>
      </w:r>
    </w:p>
    <w:p>
      <w:pPr>
        <w:spacing w:after="0" w:line="20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between 0.4 and 2.5 times Freshpet’s revenue;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in the food, beverage, and pet products industries;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similar location and geographical reach;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similar span, scope, and vertical integration;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experiencing similar rates of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similar operating complexity;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publicly traded companies.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foregoing considerations, the Compensation Committee determined that our compensation peer group for 2022 would consist of the following entities: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Beyond Meat, Inc.</w:t>
            </w:r>
          </w:p>
        </w:tc>
        <w:tc>
          <w:tcPr>
            <w:tcW w:w="4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John B. Sanfilippo &amp; Son, Inc.</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PetIQ Inc.</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Bridgford Foods Corporation</w:t>
            </w:r>
          </w:p>
        </w:tc>
        <w:tc>
          <w:tcPr>
            <w:tcW w:w="4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Landec Corporation</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PetMed Express, Inc.</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Farmer Bros. Co.</w:t>
            </w:r>
          </w:p>
        </w:tc>
        <w:tc>
          <w:tcPr>
            <w:tcW w:w="4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Medifast, Inc.</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The Simply Good Foods Company</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Hostess Brands, Inc.</w:t>
            </w:r>
          </w:p>
        </w:tc>
        <w:tc>
          <w:tcPr>
            <w:tcW w:w="4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Natural Alternatives International, Inc.</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Tootsie Roll Industries, Inc.</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Tattooed Chef, Inc</w:t>
            </w:r>
          </w:p>
        </w:tc>
        <w:tc>
          <w:tcPr>
            <w:tcW w:w="4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Nature’s Sunshine Products, Inc.</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Lancaster Colony Corporation</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Central Garden &amp; Pet Company</w:t>
            </w:r>
          </w:p>
        </w:tc>
        <w:tc>
          <w:tcPr>
            <w:tcW w:w="4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Yeti Holdings, Inc.</w:t>
            </w:r>
          </w:p>
        </w:tc>
        <w:tc>
          <w:tcPr>
            <w:tcW w:w="3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2022, a significant amount of research was conducted by Korn Ferry to identify additional companies that would be meaningful peers for Freshpet for the purposes of evaluating Freshpet’s executive compensation program. Companies reviewed included food, consumer packaged goods, and retail in particular, as these are the closest aligned businesses to Freshpet. Four additional companies were added to the existing group: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Tattooed Chef, Inc., Central Garden &amp; Pet Company, Yeti Holdings, Inc., and Lancaster Colony Corporation. With these additions, the total number of peer group benchmark companies is 17.</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target the total compensation amount for each of our NEOs (based on position) to be competitive with similarly situated executives within our compensation peer group (bearing in mind that we pay a significant portion of our compensation in the form of long-term, performance-based equity awards). We deliberately target a higher percentile within the benchmark peer group for strategically important roles. We believe that this targeting philosophy will help us to achieve an important goal of our executive compensation program, which is to hire and retain talented and experienced executives who are motivated to achieve or exceed our short-term and long-term goals. We also believe that this compensation structure will help us to achieve our objectives of aligning our NEOs’ interests with the interests of our stockholders and encouraging our successful NEOs to remain with us for the long term.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 for 2022</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used three primary elements of compensation in our executive compensation program in 2022: base salary, annual incentive awards, and long-term equity compensation. Annual incentive awards and long-term equity compensation represent the performance-based elements of our compensation program. The performance goals tied to these compensation elements are flexible in application and can be tailored to meet our specific objectives. The amount of a specific individual’s annual incentive award for a performance period is intended to reflect that individual’s relative contribution to the Company in achieving or exceeding our annual goals, and the amount of an individual’s long-term incentive compensation is intended to reflect the individual’s expected contribution to the Company over longer performance periods.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pay our NEOs a base salary based on the experience, skills, knowledge, and responsibilities required of each executive officer. We believe base salaries are an important element in our overall compensation program because base salaries provide a fixed element of compensation that reflects job responsibilities and value to us. None of our NEOs are currently party to any agreement or arrangement that provides for automatic or scheduled increases in base salary. Base salaries for our NEOs are determined by the Compensation Committee.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each NEO’s annual base salary rate for 2022:</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3"/>
        </w:trPr>
        <w:tc>
          <w:tcPr>
            <w:tcW w:w="500" w:type="dxa"/>
            <w:vAlign w:val="bottom"/>
          </w:tcPr>
          <w:p>
            <w:pPr>
              <w:spacing w:after="0"/>
              <w:rPr>
                <w:sz w:val="21"/>
                <w:szCs w:val="21"/>
                <w:color w:val="auto"/>
              </w:rPr>
            </w:pPr>
          </w:p>
        </w:tc>
        <w:tc>
          <w:tcPr>
            <w:tcW w:w="7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spacing w:after="0"/>
              <w:rPr>
                <w:sz w:val="21"/>
                <w:szCs w:val="21"/>
                <w:color w:val="auto"/>
              </w:rPr>
            </w:pPr>
          </w:p>
        </w:tc>
      </w:tr>
      <w:tr>
        <w:trPr>
          <w:trHeight w:val="150"/>
        </w:trPr>
        <w:tc>
          <w:tcPr>
            <w:tcW w:w="500" w:type="dxa"/>
            <w:vAlign w:val="bottom"/>
            <w:tcBorders>
              <w:right w:val="single" w:sz="8" w:color="auto"/>
            </w:tcBorders>
          </w:tcPr>
          <w:p>
            <w:pPr>
              <w:spacing w:after="0"/>
              <w:rPr>
                <w:sz w:val="13"/>
                <w:szCs w:val="13"/>
                <w:color w:val="auto"/>
              </w:rPr>
            </w:pPr>
          </w:p>
        </w:tc>
        <w:tc>
          <w:tcPr>
            <w:tcW w:w="726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gridSpan w:val="2"/>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Annual Base Salary</w:t>
            </w:r>
          </w:p>
        </w:tc>
      </w:tr>
      <w:tr>
        <w:trPr>
          <w:trHeight w:val="255"/>
        </w:trPr>
        <w:tc>
          <w:tcPr>
            <w:tcW w:w="500" w:type="dxa"/>
            <w:vAlign w:val="bottom"/>
            <w:tcBorders>
              <w:right w:val="single" w:sz="8" w:color="auto"/>
            </w:tcBorders>
          </w:tcPr>
          <w:p>
            <w:pPr>
              <w:spacing w:after="0"/>
              <w:rPr>
                <w:sz w:val="22"/>
                <w:szCs w:val="22"/>
                <w:color w:val="auto"/>
              </w:rPr>
            </w:pPr>
          </w:p>
        </w:tc>
        <w:tc>
          <w:tcPr>
            <w:tcW w:w="7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193"/>
        </w:trPr>
        <w:tc>
          <w:tcPr>
            <w:tcW w:w="500" w:type="dxa"/>
            <w:vAlign w:val="bottom"/>
            <w:tcBorders>
              <w:right w:val="single" w:sz="8" w:color="auto"/>
            </w:tcBorders>
          </w:tcPr>
          <w:p>
            <w:pPr>
              <w:spacing w:after="0"/>
              <w:rPr>
                <w:sz w:val="16"/>
                <w:szCs w:val="16"/>
                <w:color w:val="auto"/>
              </w:rPr>
            </w:pPr>
          </w:p>
        </w:tc>
        <w:tc>
          <w:tcPr>
            <w:tcW w:w="72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William B. Cyr</w:t>
            </w:r>
          </w:p>
        </w:tc>
        <w:tc>
          <w:tcPr>
            <w:tcW w:w="420" w:type="dxa"/>
            <w:vAlign w:val="bottom"/>
            <w:tcBorders>
              <w:bottom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620,000</w:t>
            </w:r>
          </w:p>
        </w:tc>
      </w:tr>
      <w:tr>
        <w:trPr>
          <w:trHeight w:val="209"/>
        </w:trPr>
        <w:tc>
          <w:tcPr>
            <w:tcW w:w="500" w:type="dxa"/>
            <w:vAlign w:val="bottom"/>
            <w:tcBorders>
              <w:right w:val="single" w:sz="8" w:color="auto"/>
            </w:tcBorders>
          </w:tcPr>
          <w:p>
            <w:pPr>
              <w:spacing w:after="0"/>
              <w:rPr>
                <w:sz w:val="18"/>
                <w:szCs w:val="18"/>
                <w:color w:val="auto"/>
              </w:rPr>
            </w:pPr>
          </w:p>
        </w:tc>
        <w:tc>
          <w:tcPr>
            <w:tcW w:w="7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Morris</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510,000</w:t>
            </w:r>
          </w:p>
        </w:tc>
      </w:tr>
      <w:tr>
        <w:trPr>
          <w:trHeight w:val="210"/>
        </w:trPr>
        <w:tc>
          <w:tcPr>
            <w:tcW w:w="500" w:type="dxa"/>
            <w:vAlign w:val="bottom"/>
            <w:tcBorders>
              <w:right w:val="single" w:sz="8" w:color="auto"/>
            </w:tcBorders>
          </w:tcPr>
          <w:p>
            <w:pPr>
              <w:spacing w:after="0"/>
              <w:rPr>
                <w:sz w:val="18"/>
                <w:szCs w:val="18"/>
                <w:color w:val="auto"/>
              </w:rPr>
            </w:pPr>
          </w:p>
        </w:tc>
        <w:tc>
          <w:tcPr>
            <w:tcW w:w="7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Todd Cunfer (Current CFO: 12/1/2022)</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09"/>
        </w:trPr>
        <w:tc>
          <w:tcPr>
            <w:tcW w:w="500" w:type="dxa"/>
            <w:vAlign w:val="bottom"/>
            <w:tcBorders>
              <w:right w:val="single" w:sz="8" w:color="auto"/>
            </w:tcBorders>
          </w:tcPr>
          <w:p>
            <w:pPr>
              <w:spacing w:after="0"/>
              <w:rPr>
                <w:sz w:val="18"/>
                <w:szCs w:val="18"/>
                <w:color w:val="auto"/>
              </w:rPr>
            </w:pPr>
          </w:p>
        </w:tc>
        <w:tc>
          <w:tcPr>
            <w:tcW w:w="7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Thembeka Machaba</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340,000</w:t>
            </w:r>
          </w:p>
        </w:tc>
      </w:tr>
      <w:tr>
        <w:trPr>
          <w:trHeight w:val="209"/>
        </w:trPr>
        <w:tc>
          <w:tcPr>
            <w:tcW w:w="500" w:type="dxa"/>
            <w:vAlign w:val="bottom"/>
            <w:tcBorders>
              <w:right w:val="single" w:sz="8" w:color="auto"/>
            </w:tcBorders>
          </w:tcPr>
          <w:p>
            <w:pPr>
              <w:spacing w:after="0"/>
              <w:rPr>
                <w:sz w:val="18"/>
                <w:szCs w:val="18"/>
                <w:color w:val="auto"/>
              </w:rPr>
            </w:pPr>
          </w:p>
        </w:tc>
        <w:tc>
          <w:tcPr>
            <w:tcW w:w="7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Cathal Walsh</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312,500</w:t>
            </w:r>
          </w:p>
        </w:tc>
      </w:tr>
      <w:tr>
        <w:trPr>
          <w:trHeight w:val="210"/>
        </w:trPr>
        <w:tc>
          <w:tcPr>
            <w:tcW w:w="500" w:type="dxa"/>
            <w:vAlign w:val="bottom"/>
            <w:tcBorders>
              <w:right w:val="single" w:sz="8" w:color="auto"/>
            </w:tcBorders>
          </w:tcPr>
          <w:p>
            <w:pPr>
              <w:spacing w:after="0"/>
              <w:rPr>
                <w:sz w:val="18"/>
                <w:szCs w:val="18"/>
                <w:color w:val="auto"/>
              </w:rPr>
            </w:pPr>
          </w:p>
        </w:tc>
        <w:tc>
          <w:tcPr>
            <w:tcW w:w="7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Heather Pomerantz (Former CFO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9/7/2022)</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440,000</w:t>
            </w:r>
          </w:p>
        </w:tc>
      </w:tr>
      <w:tr>
        <w:trPr>
          <w:trHeight w:val="209"/>
        </w:trPr>
        <w:tc>
          <w:tcPr>
            <w:tcW w:w="500" w:type="dxa"/>
            <w:vAlign w:val="bottom"/>
            <w:tcBorders>
              <w:right w:val="single" w:sz="8" w:color="auto"/>
            </w:tcBorders>
          </w:tcPr>
          <w:p>
            <w:pPr>
              <w:spacing w:after="0"/>
              <w:rPr>
                <w:sz w:val="18"/>
                <w:szCs w:val="18"/>
                <w:color w:val="auto"/>
              </w:rPr>
            </w:pPr>
          </w:p>
        </w:tc>
        <w:tc>
          <w:tcPr>
            <w:tcW w:w="7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Richard Kassar (Interim CFO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11/30/2022)</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320,000</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initially adopted our current annual incentive plan—in which our NEOs participate—in 2016. Awards under the plan, which are calculated as a percentage of base salary, are designed to motivate our employees to achieve our annual goals based on our strategic, financial, and operating performance objectives. For 2022, the annual target awards as a percentage of base salary were the following:</w:t>
      </w:r>
    </w:p>
    <w:p>
      <w:pPr>
        <w:spacing w:after="0" w:line="171" w:lineRule="exact"/>
        <w:rPr>
          <w:sz w:val="20"/>
          <w:szCs w:val="20"/>
          <w:color w:val="auto"/>
        </w:rPr>
      </w:pPr>
    </w:p>
    <w:tbl>
      <w:tblPr>
        <w:tblLayout w:type="fixed"/>
        <w:tblInd w:w="1130" w:type="dxa"/>
        <w:tblCellMar>
          <w:top w:w="0" w:type="dxa"/>
          <w:left w:w="0" w:type="dxa"/>
          <w:bottom w:w="0" w:type="dxa"/>
          <w:right w:w="0" w:type="dxa"/>
        </w:tblCellMar>
      </w:tblPr>
      <w:tr>
        <w:trPr>
          <w:trHeight w:val="210"/>
        </w:trPr>
        <w:tc>
          <w:tcPr>
            <w:tcW w:w="7240" w:type="dxa"/>
            <w:vAlign w:val="bottom"/>
            <w:tcBorders>
              <w:top w:val="single" w:sz="8" w:color="auto"/>
              <w:left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2022 Annual Bonus</w:t>
            </w:r>
          </w:p>
        </w:tc>
      </w:tr>
      <w:tr>
        <w:trPr>
          <w:trHeight w:val="255"/>
        </w:trPr>
        <w:tc>
          <w:tcPr>
            <w:tcW w:w="72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Target (%)</w:t>
            </w:r>
          </w:p>
        </w:tc>
      </w:tr>
      <w:tr>
        <w:trPr>
          <w:trHeight w:val="193"/>
        </w:trPr>
        <w:tc>
          <w:tcPr>
            <w:tcW w:w="72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William B. Cyr</w:t>
            </w:r>
          </w:p>
        </w:tc>
        <w:tc>
          <w:tcPr>
            <w:tcW w:w="176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95%</w:t>
            </w:r>
          </w:p>
        </w:tc>
      </w:tr>
      <w:tr>
        <w:trPr>
          <w:trHeight w:val="209"/>
        </w:trPr>
        <w:tc>
          <w:tcPr>
            <w:tcW w:w="7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 Morris</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7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Todd Cunfer (Current CFO: 12/1/2022)</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7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Thembeka Machaba</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7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Cathal Walsh</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7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Heather Pomerantz (Former CFO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9/7/2022)</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r>
      <w:tr>
        <w:trPr>
          <w:trHeight w:val="210"/>
        </w:trPr>
        <w:tc>
          <w:tcPr>
            <w:tcW w:w="7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Richard Kassar (Interim CFO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11/30/2022)</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Freshpet executives (i.e. the Chief Executive Officer and certain top leaders reporting directly to the Chief Executive Officer) adopted an ESG goal as part of the annual incentive program, with a focus on employee retention, with 10% of their total annual incentive award committed to the achievement of this goal.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The operating goal components of our 2022 annual incentive program were based 45% on Adjusted EBITDA and 45% on net sales, with the remaining 10% based on ESG. For each performance metric, the Company then established performance targets and minimum performance thresholds, with a maximum payout of no more than 250% of target for any NEO. Performance above and below each performance metric target results in increases or decreases in the bonuses earned based on pre-determined factors that are based on the economic value added or lost by stockholders due to the over/under performance. To encourage teamwork, the Compensation Committee determines a single Company performance result as an aggregate percentage of the target Company performance metrics. The resulting percentage is then multiplied against each eligible employee’s target bonus amount to determine annual incentive compensation.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540" w:type="dxa"/>
            <w:vAlign w:val="bottom"/>
            <w:tcBorders>
              <w:top w:val="single" w:sz="8" w:color="auto"/>
              <w:left w:val="single" w:sz="8" w:color="auto"/>
              <w:right w:val="single" w:sz="8" w:color="auto"/>
            </w:tcBorders>
          </w:tcPr>
          <w:p>
            <w:pPr>
              <w:spacing w:after="0"/>
              <w:rPr>
                <w:sz w:val="18"/>
                <w:szCs w:val="18"/>
                <w:color w:val="auto"/>
              </w:rPr>
            </w:pPr>
          </w:p>
        </w:tc>
        <w:tc>
          <w:tcPr>
            <w:tcW w:w="1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60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54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60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600" w:type="dxa"/>
            <w:vAlign w:val="bottom"/>
            <w:tcBorders>
              <w:top w:val="single" w:sz="8" w:color="auto"/>
              <w:right w:val="single" w:sz="8" w:color="auto"/>
            </w:tcBorders>
          </w:tcPr>
          <w:p>
            <w:pPr>
              <w:spacing w:after="0"/>
              <w:rPr>
                <w:sz w:val="18"/>
                <w:szCs w:val="18"/>
                <w:color w:val="auto"/>
              </w:rPr>
            </w:pPr>
          </w:p>
        </w:tc>
      </w:tr>
      <w:tr>
        <w:trPr>
          <w:trHeight w:val="255"/>
        </w:trPr>
        <w:tc>
          <w:tcPr>
            <w:tcW w:w="4540" w:type="dxa"/>
            <w:vAlign w:val="bottom"/>
            <w:tcBorders>
              <w:left w:val="single" w:sz="8" w:color="auto"/>
              <w:bottom w:val="single" w:sz="8" w:color="auto"/>
              <w:right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millions)</w:t>
            </w:r>
          </w:p>
        </w:tc>
        <w:tc>
          <w:tcPr>
            <w:tcW w:w="54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60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millions)</w:t>
            </w:r>
          </w:p>
        </w:tc>
        <w:tc>
          <w:tcPr>
            <w:tcW w:w="600" w:type="dxa"/>
            <w:vAlign w:val="bottom"/>
            <w:tcBorders>
              <w:bottom w:val="single" w:sz="8" w:color="auto"/>
              <w:right w:val="single" w:sz="8" w:color="auto"/>
            </w:tcBorders>
          </w:tcPr>
          <w:p>
            <w:pPr>
              <w:spacing w:after="0"/>
              <w:rPr>
                <w:sz w:val="22"/>
                <w:szCs w:val="22"/>
                <w:color w:val="auto"/>
              </w:rPr>
            </w:pPr>
          </w:p>
        </w:tc>
      </w:tr>
      <w:tr>
        <w:trPr>
          <w:trHeight w:val="193"/>
        </w:trPr>
        <w:tc>
          <w:tcPr>
            <w:tcW w:w="45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45%</w:t>
            </w:r>
          </w:p>
        </w:tc>
        <w:tc>
          <w:tcPr>
            <w:tcW w:w="1120" w:type="dxa"/>
            <w:vAlign w:val="bottom"/>
            <w:tcBorders>
              <w:bottom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600</w:t>
            </w:r>
          </w:p>
        </w:tc>
        <w:tc>
          <w:tcPr>
            <w:tcW w:w="1060" w:type="dxa"/>
            <w:vAlign w:val="bottom"/>
            <w:tcBorders>
              <w:bottom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565</w:t>
            </w:r>
          </w:p>
        </w:tc>
        <w:tc>
          <w:tcPr>
            <w:tcW w:w="1060" w:type="dxa"/>
            <w:vAlign w:val="bottom"/>
            <w:tcBorders>
              <w:bottom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595.3</w:t>
            </w:r>
          </w:p>
        </w:tc>
      </w:tr>
      <w:tr>
        <w:trPr>
          <w:trHeight w:val="209"/>
        </w:trPr>
        <w:tc>
          <w:tcPr>
            <w:tcW w:w="4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 EBITDA before bonus accrual</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above, our 2022 targets were as follows: $66 million of Adjusted EBITDA and $600 million of net sales. On a pre-bonus basis, and after adjusting to recognize a previously-reported change in the calculation of Adjusted EBITDA, the Company delivered as follows: $50.2 million of Adjusted EBITDA and $595.3 million of net sales. Adjusted EBITDA is not a financial measure prepared in accordance with U.S. generally accepted accounting principles (or GAAP). This metric is explained in more detail in the section “Non-GAAP Financial Measures” in “Item 7. Management’s Discussion and Analysis of Financial Conditions and Results of Operations” in our annual report, where it is reconciled to the closest GAAP measure.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ESG Goal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employee retention is both consistent with the Company’s social purpose of enriching the lives of our workforce (largely employees performing hourly labor) and an essential strategy necessary to support a fast-growing company. The ESG goal for 2022 was therefore focused on Employee Retention, with three specific measures:</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satisfaction</w:t>
      </w:r>
      <w:r>
        <w:rPr>
          <w:rFonts w:ascii="Times New Roman" w:cs="Times New Roman" w:eastAsia="Times New Roman" w:hAnsi="Times New Roman"/>
          <w:sz w:val="18"/>
          <w:szCs w:val="18"/>
          <w:color w:val="auto"/>
        </w:rPr>
        <w:t xml:space="preserve"> – measured by the Employee Net Promoter Score, with a target of 8.3.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 Labor Turnover</w:t>
      </w:r>
      <w:r>
        <w:rPr>
          <w:rFonts w:ascii="Times New Roman" w:cs="Times New Roman" w:eastAsia="Times New Roman" w:hAnsi="Times New Roman"/>
          <w:sz w:val="18"/>
          <w:szCs w:val="18"/>
          <w:color w:val="auto"/>
        </w:rPr>
        <w:t xml:space="preserve"> – with a target of &lt;35% for the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Critical Talent</w:t>
      </w:r>
      <w:r>
        <w:rPr>
          <w:rFonts w:ascii="Times New Roman" w:cs="Times New Roman" w:eastAsia="Times New Roman" w:hAnsi="Times New Roman"/>
          <w:sz w:val="18"/>
          <w:szCs w:val="18"/>
          <w:color w:val="auto"/>
        </w:rPr>
        <w:t xml:space="preserve"> – measured by the percentage (target of 90%) of special equity award recipients who we have retained.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combination of all three goals would result in the overall ESG bonus target of 10%. For 2022, the ESG goal achievement was 84% as shown in the table below.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Actions taken to achieve this goal inherently strengthen the communities in which we operate by enhancing the lives of our production work force and their families by increasing economic opportunity and enhancing skill development. Those actions include higher wages, long-term equity participation, skills training, and employee benefits that strengthen families (i.e., 18-week maternity leave and 12-week paternity leave, five weeks of vacation, tuition reimbursement). We believe that this program has contributed significantly to the improved performance of our production operations – particularly towards the end of 2022 and into 2023 – demonstrating the long-lasting impact of this goal and its sustainability.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targets and resulting achievement for these three ESG measures were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40" w:type="dxa"/>
            <w:vAlign w:val="bottom"/>
            <w:tcBorders>
              <w:top w:val="single" w:sz="8" w:color="auto"/>
              <w:left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660" w:type="dxa"/>
            <w:vAlign w:val="bottom"/>
            <w:tcBorders>
              <w:top w:val="single" w:sz="8" w:color="auto"/>
              <w:right w:val="single" w:sz="8" w:color="auto"/>
            </w:tcBorders>
          </w:tcPr>
          <w:p>
            <w:pPr>
              <w:spacing w:after="0"/>
              <w:rPr>
                <w:sz w:val="18"/>
                <w:szCs w:val="18"/>
                <w:color w:val="auto"/>
              </w:rPr>
            </w:pPr>
          </w:p>
        </w:tc>
      </w:tr>
      <w:tr>
        <w:trPr>
          <w:trHeight w:val="255"/>
        </w:trPr>
        <w:tc>
          <w:tcPr>
            <w:tcW w:w="4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ESG:</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70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6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66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Result</w:t>
            </w:r>
          </w:p>
        </w:tc>
      </w:tr>
      <w:tr>
        <w:trPr>
          <w:trHeight w:val="193"/>
        </w:trPr>
        <w:tc>
          <w:tcPr>
            <w:tcW w:w="44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Employee Net Promoter Score</w:t>
            </w:r>
          </w:p>
        </w:tc>
        <w:tc>
          <w:tcPr>
            <w:tcW w:w="1780" w:type="dxa"/>
            <w:vAlign w:val="bottom"/>
            <w:tcBorders>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jc w:val="right"/>
              <w:ind w:right="590"/>
              <w:spacing w:after="0" w:line="193" w:lineRule="exact"/>
              <w:rPr>
                <w:sz w:val="20"/>
                <w:szCs w:val="20"/>
                <w:color w:val="auto"/>
              </w:rPr>
            </w:pPr>
            <w:r>
              <w:rPr>
                <w:rFonts w:ascii="Times New Roman" w:cs="Times New Roman" w:eastAsia="Times New Roman" w:hAnsi="Times New Roman"/>
                <w:sz w:val="18"/>
                <w:szCs w:val="18"/>
                <w:color w:val="auto"/>
              </w:rPr>
              <w:t>8.3</w:t>
            </w:r>
          </w:p>
        </w:tc>
        <w:tc>
          <w:tcPr>
            <w:tcW w:w="166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color w:val="auto"/>
              </w:rPr>
              <w:t>7.6</w:t>
            </w:r>
          </w:p>
        </w:tc>
        <w:tc>
          <w:tcPr>
            <w:tcW w:w="1660" w:type="dxa"/>
            <w:vAlign w:val="bottom"/>
            <w:tcBorders>
              <w:bottom w:val="single" w:sz="8" w:color="auto"/>
              <w:right w:val="single" w:sz="8" w:color="auto"/>
            </w:tcBorders>
          </w:tcPr>
          <w:p>
            <w:pPr>
              <w:jc w:val="center"/>
              <w:ind w:left="30"/>
              <w:spacing w:after="0" w:line="193" w:lineRule="exact"/>
              <w:rPr>
                <w:sz w:val="20"/>
                <w:szCs w:val="20"/>
                <w:color w:val="auto"/>
              </w:rPr>
            </w:pPr>
            <w:r>
              <w:rPr>
                <w:rFonts w:ascii="Times New Roman" w:cs="Times New Roman" w:eastAsia="Times New Roman" w:hAnsi="Times New Roman"/>
                <w:sz w:val="18"/>
                <w:szCs w:val="18"/>
                <w:color w:val="auto"/>
                <w:w w:val="97"/>
              </w:rPr>
              <w:t>8.0</w:t>
            </w:r>
          </w:p>
        </w:tc>
      </w:tr>
      <w:tr>
        <w:trPr>
          <w:trHeight w:val="210"/>
        </w:trPr>
        <w:tc>
          <w:tcPr>
            <w:tcW w:w="4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Manufacturing LTO</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7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≤35%</w:t>
            </w:r>
          </w:p>
        </w:tc>
        <w:tc>
          <w:tcPr>
            <w:tcW w:w="16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≤45%</w:t>
            </w:r>
          </w:p>
        </w:tc>
        <w:tc>
          <w:tcPr>
            <w:tcW w:w="16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25%</w:t>
            </w:r>
          </w:p>
        </w:tc>
      </w:tr>
      <w:tr>
        <w:trPr>
          <w:trHeight w:val="210"/>
        </w:trPr>
        <w:tc>
          <w:tcPr>
            <w:tcW w:w="4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Retention of Key Talent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(approx. 1/3 each)</w:t>
            </w:r>
          </w:p>
        </w:tc>
        <w:tc>
          <w:tcPr>
            <w:tcW w:w="170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≥90%</w:t>
            </w:r>
          </w:p>
        </w:tc>
        <w:tc>
          <w:tcPr>
            <w:tcW w:w="166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≥80%</w:t>
            </w:r>
          </w:p>
        </w:tc>
        <w:tc>
          <w:tcPr>
            <w:tcW w:w="16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96%</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For 2022, based on the foregoing operating and ESG goals, we paid annual incentive awards to each NEO as follows:</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5840" w:type="dxa"/>
            <w:vAlign w:val="bottom"/>
            <w:tcBorders>
              <w:top w:val="single" w:sz="8" w:color="auto"/>
              <w:left w:val="single" w:sz="8" w:color="auto"/>
              <w:right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right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Operational Goals</w:t>
            </w:r>
          </w:p>
        </w:tc>
        <w:tc>
          <w:tcPr>
            <w:tcW w:w="22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right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Executive ESG Goal</w:t>
            </w:r>
          </w:p>
        </w:tc>
      </w:tr>
      <w:tr>
        <w:trPr>
          <w:trHeight w:val="187"/>
        </w:trPr>
        <w:tc>
          <w:tcPr>
            <w:tcW w:w="584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right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1400" w:type="dxa"/>
            <w:vAlign w:val="bottom"/>
            <w:tcBorders>
              <w:right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 of Target</w:t>
            </w:r>
          </w:p>
        </w:tc>
        <w:tc>
          <w:tcPr>
            <w:tcW w:w="220" w:type="dxa"/>
            <w:vAlign w:val="bottom"/>
          </w:tcPr>
          <w:p>
            <w:pPr>
              <w:spacing w:after="0"/>
              <w:rPr>
                <w:sz w:val="16"/>
                <w:szCs w:val="16"/>
                <w:color w:val="auto"/>
              </w:rPr>
            </w:pPr>
          </w:p>
        </w:tc>
        <w:tc>
          <w:tcPr>
            <w:tcW w:w="1100" w:type="dxa"/>
            <w:vAlign w:val="bottom"/>
            <w:tcBorders>
              <w:right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1380" w:type="dxa"/>
            <w:vAlign w:val="bottom"/>
            <w:tcBorders>
              <w:right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 of Target</w:t>
            </w:r>
          </w:p>
        </w:tc>
      </w:tr>
      <w:tr>
        <w:trPr>
          <w:trHeight w:val="255"/>
        </w:trPr>
        <w:tc>
          <w:tcPr>
            <w:tcW w:w="5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40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Awarded</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3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Awarded</w:t>
            </w:r>
          </w:p>
        </w:tc>
      </w:tr>
      <w:tr>
        <w:trPr>
          <w:trHeight w:val="193"/>
        </w:trPr>
        <w:tc>
          <w:tcPr>
            <w:tcW w:w="58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William B. Cyr</w:t>
            </w:r>
          </w:p>
        </w:tc>
        <w:tc>
          <w:tcPr>
            <w:tcW w:w="2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233,244</w:t>
            </w:r>
          </w:p>
        </w:tc>
        <w:tc>
          <w:tcPr>
            <w:tcW w:w="140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49,476</w:t>
            </w:r>
          </w:p>
        </w:tc>
        <w:tc>
          <w:tcPr>
            <w:tcW w:w="13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84%</w:t>
            </w:r>
          </w:p>
        </w:tc>
      </w:tr>
      <w:tr>
        <w:trPr>
          <w:trHeight w:val="210"/>
        </w:trPr>
        <w:tc>
          <w:tcPr>
            <w:tcW w:w="5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 Morris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121,176</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25,704</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5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Todd Cunfer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10,090</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2,140</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5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Thembeka Machaba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53,856</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11,424</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5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Cathal Walsh</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49,500</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10,500</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5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Heather Pomerantz**</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58,500</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12,382</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5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Richard Kassar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15,998</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3,360</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ind w:left="660" w:right="6800" w:hanging="4"/>
        <w:spacing w:after="0" w:line="250" w:lineRule="auto"/>
        <w:tabs>
          <w:tab w:leader="none" w:pos="7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Prorated for one month of employment in 2022 ** Prorated for eight months of employment in 2022</w:t>
      </w: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Prorated for three months of employment in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do not have a formal policy covering the grant of equity compensation awards to our executive officers, we believe that equity compensation provides our executive officers with a strong link to our long-term performance, creates an ownership culture, and helps to align the interests of our executive officers and our stockholders. Further, we believe that stock option awards with time-based vesting features promote executive retention, as they incentivize our executive officers to remain employed with us for the applicable vesting period. Accordingly, the Compensation Committee (or alternatively, the Board) periodically reviews the equity compensation of our NEOs and from time to time may grant awards as it deems appropriate.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grant equity awards under our 2014 Omnibus Incentive Plan (or “2014 Plan”), which allows for awards of tax-qualified incentive stock options, non-statutory stock options, stock appreciation rights, restricted stock, other stock-based awards, and other cash-based awards to our directors, officers, employees, consultants, and advisors. Each of our NEOs is eligible to participate in our 2014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(or alternatively, the Board) determines the size and vesting terms of all awards made under our 2014 Plan and administers all other aspects of the plan. In 2022, the Compensation Committee took into account a number of factors when making awards under our 2014 Plan, including, among others, the eligible employee’s expected contribution to the long-term success of the Company and information gathered by the Compensation Committee regarding compensation paid to similarly situated executives at companies in our compensation peer group, as well as the amounts of outstanding stock options that each NEO held at such time. In light of the stock options granted to our NEO’s in 2020, as described below, no additional stock option grants were granted in 2022 to those NEOs who participated in the 2020 program.</w:t>
      </w:r>
    </w:p>
    <w:p>
      <w:pPr>
        <w:spacing w:after="0" w:line="200" w:lineRule="exact"/>
        <w:rPr>
          <w:sz w:val="20"/>
          <w:szCs w:val="20"/>
          <w:color w:val="auto"/>
        </w:rPr>
      </w:pP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2020, we granted certain officers stock options to purchase shares of our common stock under our 2014 Plan, 50% of which are scheduled to vest and become exercisable in equal installments on each of the first three anniversaries of the grant date and 50% of which are scheduled to vest and become exercisable annually according to the achievement of Adjusted EBITDA performance-based conditions (and in each case subject to the NEO’s continued employment with us). Upon a termination by the Company other than for “cause” or by the NEO for “good reason”, within two years following a “change in control” (as each is defined in the applicable award agreements), the time-vesting options will accelerate and vest.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2020, we also granted Mr. Walsh 59,932 stock options to purchase shares of our common stock under our 2014 Plan, 39,932 of which vest and become exercisable in equal installments on each of the first three anniversaries of the grant date and 20,000 of which are scheduled to vest and become exercisable following the achievement of certain annual net sales goals in the 2023 calendar year (and in each case subject to Mr. Walsh’s continued employment with 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2020, we made multi-year grants of stock options under our 2014 Plan to certain officers. These grants were designed to align the most senior management of the Company with the long-term goals established by the Company in early 2020, and cover a four-year performance period ending December 31, 2024. The Committee will not make any additional grants to these individuals during this performance period, so none of these individuals received a grant in 2021 or 2022. For the NEOs, the grants are 75% performance-based and 25% time-based, with the performance targets set in excess of the long-term goals communicated to investors. For competitive reasons, we are not disclosing the specific goals and instead they will be disclosed upon the conclusion of the four-year performance period. Upon a termination by the Company other than for “cause” or by the NEO for “good reason” (each as defined in each applicable award agreements), within two years following a “change in control” (as defined in the applicable award agreements), the time-vesting options will accelerate and vest and the performance-vesting options will in accelerate and vest in part or in full based on actual Company performance through the change in control. Upon termination by the Company other than for “cause” not in connection with a “change in control”, the performance-vesting options will accelerate on a prorated basis based on number of days employed during the performance period, based on actual Company performance through the end of the performance period.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we granted Mr. Walsh equity awards of $149,977 in RSUs, which are scheduled to vest in three equal annual installments beginning March 12, 2022, with accelerated vesting in full upon termination due to death or “disability”, “involuntary termination without cause” or “voluntary resignation with good reason” (each as defined in the award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we granted Mr. Walsh an equity award of $156,235 in RSUs, which are scheduled to vest in three equal annual installments beginning March 14, 2023, with accelerated vesting in full upon termination due to death or “disability”, “involuntary termination without cause” or “voluntary resignation with good reason” (each as defined in the award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“—2022 Outstanding Equity Awards at Fiscal Year-End.”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base salary and annual and long-term performance-based compensation, our NEOs are also eligible for the following benefits on a similar basis as our other eligible employees:</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dental, and vision insurance.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including vacation, personal holidays, and sick days;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and supplemental life insurance;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(or 401(k) Plan) under which all of our employees (including our NEOs) are eligible to participate beginning on the first day of the month after their employment with us begins. The 401(k) Plan includes a deferral feature under which a participant may elect to defer his or her compensation by up to the statutorily prescribed IRS limits. Currently, we also match participant contributions to the 401(k) Plan up to 4% of the participant’s annual eligible earnings. We believe that providing a vehicle for retirement savings through our 401(k) Plan, and making matching contributions, adds to the overall desirability of our executive compensation program and further incentivizes our NEOs in accordance with our compensation policies.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the 401(k) Plan, we do not maintain any pension plans or non-qualified deferred compensation plans for the benefit of our employees or other service providers.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NEOs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party to an employment agreement with each of Messrs. Cyr, Morris, Cunfer and Walsh. For Messrs. Cyr, Morris and Walsh, each agreement provides for an initial term of one year and for automatic one-year extensions beginning on the expiration of the initial term. Any automatic extension may be cancelled upon at least 90 days’ prior written notice from the respective NEO or the Company. Under their agreements, and following past adjustments made in connection with the Board’s annual review, Messrs. Cyr, Morris, Cunfer and Walsh are entitled to receive annual base salaries of $620,000, $510,000, $500,000, and $312,500, respectively, subject to annual review by the Board. Further, Messrs. Cyr, Morris, Cunfer and Walsh have the opportunity to earn annual target bonuses equal to at least 95%, 60%, 60% and 40%, respectively, of their base salaries. Each executive is also entitled to participate in the Company’s employee and fringe benefit plans as may be in effect from time to time on the same basis as other employees of the Company generally. The Company is also party to an offer letter with Ms. Machaba, which is described further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William Cyr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with Mr. Cyr in July 2016. In the event of a termination of Mr. Cyr’s employment by the Company without “cause,” or by Mr. Cyr for “good reason” (each as defined in his employment agreement), he is generally eligible to receive, subject to his timely execution and non-revocation of a general release of claims against the Company: (i) an amount equal to (A) one and one-half times the sum of his (x) base salary and (y) target bonus, for a period of 18 months, payable in equal monthly in accordance with the Company’s normal payroll practice; and (ii) Company payment of premiums (at active employee rates) for continuation of group health coverage for him and his eligible dependents for 18 months. In the event of a termination of Mr. Cyr’s employment due to “permanent disability” (as defined in his employment agreement), he is generally eligible to receive, subject to his timely execution and non-revocation of a general release of claims against the Company, Company payment of premiums (at active employee rates) for continuation of group health coverage for him and his eligible dependents for 18 months.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Cyr’s employment agreement contains a cutback provision for “parachute payments” under Internal Revenue Code (or Code) Section 280G, under which he may be subject to a cutback of certain change-in-control payments in order to avoid any excise tax or loss of deduction under Code Section 280G, if the cutback would result (after factoring any potential excise taxes under Section 280G) in a larger after-tax payment to Mr. Cyr.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Cyr’s employment agreement contains the following restrictive covenants: (i) a non-compete covenant that prohibits him from competing against the Company for 24 months after employment; (ii) non-solicit covenants that prohibit him from actively soliciting the Company’s employees, customers, or suppliers during employment and for 24 months after employment; and (iii) a perpetual confidentiality covenant that protects the Company’s proprietary information, developments, and other intellectual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with Scott Morris, Todd Cunfer and Cathal Walsh</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employment agreements with Messrs. Morris and Walsh in October 2014, and with Mr. Cunfer in December 2022. Under the agreements, in the event of a termination of the NEO by the Company without “cause,” by the NEO for “good reason,” or due to “permanent disability” (each as defined in the respective employment agreements), each NEO is generally eligible to receive, subject to his timely execution and non-revocation of a general release of claims against the Company: (i) an amount equal to 12 months of the NEO’s base salary in accordance with the Company’s normal payroll practice; (ii) Company payment of premiums (at active employee rates) for continuation of group health coverage for the NEO and his eligible dependents for 12 months; and (iii) only in the event of a termination by the Company without “cause” or by the NEO for “good reason” after June 30th during any year in which the employment agreement is effective, a pro-rated annual incentive award based on actual performance for the year in which termination occurs.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employment agreements with Messrs. Morris and Walsh contains a cutback provision for “parachute payments” under Code Section 280G, under which the NEO may be subject to a cutback of certain change-in-control payments in order to avoid any excise tax or loss of deduction under Code Section 280G, if the cutback would result (after factoring any potential excise taxes under Section 280G) in a larger after-tax payment to the NEO.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employment agreements with Messrs. Morris, Cunfer and Walsh contains the following restrictive covenants: (i) a non-compete covenant that prohibits the NEO from competing against the Company for 12 months after employment; (ii) non-solicit covenants that prohibit the NEO from actively soliciting the Company’s employees, customers, or suppliers during employment and for 12 months after employment; and (iii) a perpetual confidentiality covenant that protects the Company’s proprietary information, developments, and other intellectual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Thembeka Machaba</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entered into an offer letter with Ms. Machaba in August 2020. The offer letter required that Ms. Machaba enter into the Company’s confidentiality and no-hire agreement, which includes customary confidentiality and non-solicitation provisions that extend for 12 months after termination or resignation of employment with the Company. On April 17, 2023, Thembeka Machaba was given a one-time cash award with a target value of $456,250, subject to time-and performance-vesting conditions. The grant was made during a period of increased employee turnover and increased demand for executive talent. It was essential to future operations that Freshpet keep the skill set and talents Ms. Machaba brings. This award is intended to preserve Ms. Machaba’s employment with the company for a minimum of two years. Given this, 50 percent of this award will cliff vest on March 15, 2025. The remaining 50 percent of the award vests subject to adjusted EBITDA and net sales achievement, the goals for which are not disclosed due to the potential for competitive harm.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Grants to Todd Cunfer</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December 2022, we granted our CFO, Mr. Cunfer, an inducement grant of stock options in accordance with the Nasdaq Marketplace Rules. Mr. Cunfer’s inducement grant consisted of 40,120 time-vesting options and 22,381 restricted stock units.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Hedging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consider it improper and inappropriate for our directors, officers, and other employees at or above the Vice President level to engage in any transactions that hedge or offset, or are designed to hedge or offset, any decrease in the value of our securities. As such, we have implemented a policy that prohibits our directors, officers, and other employees at or above the Vice President level from engaging in any speculative or hedging transactions or any other transactions that are designed to offset any decrease in the value of our securities.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consider the accounting impact reflected in our financial statements when establishing the amounts and forms of executive compensation. The forms of compensation that we select are intended to be cost-efficient. We account for all awards settled in equity in accordance with FASB ASC Topic 718, under which the fair value of the grant, net of estimated forfeitures, is expensed over the service/vesting period based on the number of options, shares, or units, as applicable, that vest. The estimated payout amount of performance awards, along with any changes in that estimate, is recognized over the performance period under “liability” accounting. Our ultimate expense for performance awards will equal the value earned by/paid to the award recipients.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publicly traded company, we are subject to SEC rules regarding risk assessment. Those rules require a publicly traded company to determine whether any of its existing compensation plans, programs, or arrangements create risks that are reasonably likely to have a material adverse effect on the Company. We do not believe that our compensation plans, programs, or arrangements create risks that are reasonably likely to have a material adverse effect on Freshpet.</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set forth above. Based on this review and discussion, the Compensation Committee has recommended to the Board of Directors that the Compensation Discussion and Analysis be included in this Annual Report and our proxy statement.</w:t>
      </w:r>
    </w:p>
    <w:p>
      <w:pPr>
        <w:spacing w:after="0" w:line="3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i w:val="1"/>
          <w:iCs w:val="1"/>
          <w:color w:val="auto"/>
        </w:rPr>
        <w:t>The Compensation Committee of Freshpet,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Daryl G. Brewster (Chair)</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Olu Beck</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Leta D. Priest</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for 2022 for each NEO. Compensation information for 2021 and 2020 is presented for individuals who were also our NEOs in those years.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20" w:type="dxa"/>
            <w:vAlign w:val="bottom"/>
            <w:tcBorders>
              <w:top w:val="single" w:sz="8" w:color="auto"/>
              <w:left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5"/>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80" w:type="dxa"/>
            <w:vAlign w:val="bottom"/>
            <w:tcBorders>
              <w:bottom w:val="single" w:sz="8" w:color="auto"/>
              <w:right w:val="single" w:sz="8" w:color="auto"/>
            </w:tcBorders>
          </w:tcPr>
          <w:p>
            <w:pPr>
              <w:jc w:val="right"/>
              <w:ind w:right="430"/>
              <w:spacing w:after="0" w:line="235"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7"/>
                <w:szCs w:val="27"/>
                <w:b w:val="1"/>
                <w:bCs w:val="1"/>
                <w:color w:val="auto"/>
                <w:vertAlign w:val="superscript"/>
              </w:rPr>
              <w:t>(1)</w:t>
            </w:r>
          </w:p>
        </w:tc>
        <w:tc>
          <w:tcPr>
            <w:tcW w:w="1360" w:type="dxa"/>
            <w:vAlign w:val="bottom"/>
            <w:tcBorders>
              <w:bottom w:val="single" w:sz="8" w:color="auto"/>
              <w:right w:val="single" w:sz="8" w:color="auto"/>
            </w:tcBorders>
          </w:tcPr>
          <w:p>
            <w:pPr>
              <w:jc w:val="right"/>
              <w:ind w:right="410"/>
              <w:spacing w:after="0" w:line="235"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7"/>
                <w:szCs w:val="27"/>
                <w:b w:val="1"/>
                <w:bCs w:val="1"/>
                <w:color w:val="auto"/>
                <w:vertAlign w:val="superscript"/>
              </w:rPr>
              <w:t>(2)</w:t>
            </w:r>
          </w:p>
        </w:tc>
        <w:tc>
          <w:tcPr>
            <w:tcW w:w="136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(3)</w:t>
            </w:r>
          </w:p>
        </w:tc>
        <w:tc>
          <w:tcPr>
            <w:tcW w:w="132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(4)</w:t>
            </w:r>
          </w:p>
        </w:tc>
        <w:tc>
          <w:tcPr>
            <w:tcW w:w="132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(5)</w:t>
            </w:r>
          </w:p>
        </w:tc>
        <w:tc>
          <w:tcPr>
            <w:tcW w:w="132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3"/>
        </w:trPr>
        <w:tc>
          <w:tcPr>
            <w:tcW w:w="2320" w:type="dxa"/>
            <w:vAlign w:val="bottom"/>
            <w:tcBorders>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William B. Cyr</w:t>
            </w:r>
            <w:r>
              <w:rPr>
                <w:rFonts w:ascii="Times New Roman" w:cs="Times New Roman" w:eastAsia="Times New Roman" w:hAnsi="Times New Roman"/>
                <w:sz w:val="22"/>
                <w:szCs w:val="22"/>
                <w:b w:val="1"/>
                <w:bCs w:val="1"/>
                <w:color w:val="auto"/>
                <w:vertAlign w:val="superscript"/>
              </w:rPr>
              <w:t>(6)</w:t>
            </w:r>
          </w:p>
        </w:tc>
        <w:tc>
          <w:tcPr>
            <w:tcW w:w="860" w:type="dxa"/>
            <w:vAlign w:val="bottom"/>
            <w:tcBorders>
              <w:bottom w:val="single" w:sz="8" w:color="auto"/>
              <w:right w:val="single" w:sz="8" w:color="auto"/>
            </w:tcBorders>
          </w:tcPr>
          <w:p>
            <w:pPr>
              <w:ind w:left="220"/>
              <w:spacing w:after="0" w:line="193" w:lineRule="exact"/>
              <w:rPr>
                <w:sz w:val="20"/>
                <w:szCs w:val="20"/>
                <w:color w:val="auto"/>
              </w:rPr>
            </w:pPr>
            <w:r>
              <w:rPr>
                <w:rFonts w:ascii="Times New Roman" w:cs="Times New Roman" w:eastAsia="Times New Roman" w:hAnsi="Times New Roman"/>
                <w:sz w:val="18"/>
                <w:szCs w:val="18"/>
                <w:color w:val="auto"/>
              </w:rPr>
              <w:t>2022</w:t>
            </w:r>
          </w:p>
        </w:tc>
        <w:tc>
          <w:tcPr>
            <w:tcW w:w="1380" w:type="dxa"/>
            <w:vAlign w:val="bottom"/>
            <w:tcBorders>
              <w:bottom w:val="single" w:sz="8" w:color="auto"/>
              <w:right w:val="single" w:sz="8" w:color="auto"/>
            </w:tcBorders>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620,000</w:t>
            </w:r>
          </w:p>
        </w:tc>
        <w:tc>
          <w:tcPr>
            <w:tcW w:w="13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282,720</w:t>
            </w:r>
          </w:p>
        </w:tc>
        <w:tc>
          <w:tcPr>
            <w:tcW w:w="132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12,200</w:t>
            </w:r>
          </w:p>
        </w:tc>
        <w:tc>
          <w:tcPr>
            <w:tcW w:w="132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914,920</w:t>
            </w:r>
          </w:p>
        </w:tc>
        <w:tc>
          <w:tcPr>
            <w:tcW w:w="0" w:type="dxa"/>
            <w:vAlign w:val="bottom"/>
          </w:tcPr>
          <w:p>
            <w:pPr>
              <w:spacing w:after="0"/>
              <w:rPr>
                <w:sz w:val="1"/>
                <w:szCs w:val="1"/>
                <w:color w:val="auto"/>
              </w:rPr>
            </w:pPr>
          </w:p>
        </w:tc>
      </w:tr>
      <w:tr>
        <w:trPr>
          <w:trHeight w:val="209"/>
        </w:trPr>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153,440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11,600</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765,040</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14,701,112</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545,940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11,400</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15,858,452</w:t>
            </w:r>
          </w:p>
        </w:tc>
        <w:tc>
          <w:tcPr>
            <w:tcW w:w="0" w:type="dxa"/>
            <w:vAlign w:val="bottom"/>
          </w:tcPr>
          <w:p>
            <w:pPr>
              <w:spacing w:after="0"/>
              <w:rPr>
                <w:sz w:val="1"/>
                <w:szCs w:val="1"/>
                <w:color w:val="auto"/>
              </w:rPr>
            </w:pPr>
          </w:p>
        </w:tc>
      </w:tr>
      <w:tr>
        <w:trPr>
          <w:trHeight w:val="210"/>
        </w:trPr>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Scott Morris</w:t>
            </w: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510,000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146,880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12,200</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669,080</w:t>
            </w:r>
          </w:p>
        </w:tc>
        <w:tc>
          <w:tcPr>
            <w:tcW w:w="0" w:type="dxa"/>
            <w:vAlign w:val="bottom"/>
          </w:tcPr>
          <w:p>
            <w:pPr>
              <w:spacing w:after="0"/>
              <w:rPr>
                <w:sz w:val="1"/>
                <w:szCs w:val="1"/>
                <w:color w:val="auto"/>
              </w:rPr>
            </w:pPr>
          </w:p>
        </w:tc>
      </w:tr>
      <w:tr>
        <w:trPr>
          <w:trHeight w:val="178"/>
        </w:trPr>
        <w:tc>
          <w:tcPr>
            <w:tcW w:w="23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President and</w:t>
            </w:r>
          </w:p>
        </w:tc>
        <w:tc>
          <w:tcPr>
            <w:tcW w:w="860" w:type="dxa"/>
            <w:vAlign w:val="bottom"/>
            <w:tcBorders>
              <w:right w:val="single" w:sz="8" w:color="auto"/>
            </w:tcBorders>
          </w:tcPr>
          <w:p>
            <w:pPr>
              <w:ind w:left="220"/>
              <w:spacing w:after="0" w:line="177" w:lineRule="exact"/>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490,000</w:t>
            </w:r>
          </w:p>
        </w:tc>
        <w:tc>
          <w:tcPr>
            <w:tcW w:w="136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80,556</w:t>
            </w:r>
          </w:p>
        </w:tc>
        <w:tc>
          <w:tcPr>
            <w:tcW w:w="13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11,600</w:t>
            </w:r>
          </w:p>
        </w:tc>
        <w:tc>
          <w:tcPr>
            <w:tcW w:w="1320" w:type="dxa"/>
            <w:vAlign w:val="bottom"/>
            <w:tcBorders>
              <w:right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582,156</w:t>
            </w:r>
          </w:p>
        </w:tc>
        <w:tc>
          <w:tcPr>
            <w:tcW w:w="0" w:type="dxa"/>
            <w:vAlign w:val="bottom"/>
          </w:tcPr>
          <w:p>
            <w:pPr>
              <w:spacing w:after="0"/>
              <w:rPr>
                <w:sz w:val="1"/>
                <w:szCs w:val="1"/>
                <w:color w:val="auto"/>
              </w:rPr>
            </w:pPr>
          </w:p>
        </w:tc>
      </w:tr>
      <w:tr>
        <w:trPr>
          <w:trHeight w:val="32"/>
        </w:trPr>
        <w:tc>
          <w:tcPr>
            <w:tcW w:w="2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8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right w:val="single" w:sz="8" w:color="auto"/>
            </w:tcBorders>
            <w:vMerge w:val="continue"/>
          </w:tcPr>
          <w:p>
            <w:pPr>
              <w:spacing w:after="0"/>
              <w:rPr>
                <w:sz w:val="18"/>
                <w:szCs w:val="18"/>
                <w:color w:val="auto"/>
              </w:rPr>
            </w:pP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475,000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11,342,468</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288,135</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11,400</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12,117,003</w:t>
            </w:r>
          </w:p>
        </w:tc>
        <w:tc>
          <w:tcPr>
            <w:tcW w:w="0" w:type="dxa"/>
            <w:vAlign w:val="bottom"/>
          </w:tcPr>
          <w:p>
            <w:pPr>
              <w:spacing w:after="0"/>
              <w:rPr>
                <w:sz w:val="1"/>
                <w:szCs w:val="1"/>
                <w:color w:val="auto"/>
              </w:rPr>
            </w:pPr>
          </w:p>
        </w:tc>
      </w:tr>
      <w:tr>
        <w:trPr>
          <w:trHeight w:val="191"/>
        </w:trPr>
        <w:tc>
          <w:tcPr>
            <w:tcW w:w="2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4"/>
                <w:szCs w:val="14"/>
                <w:b w:val="1"/>
                <w:bCs w:val="1"/>
                <w:color w:val="auto"/>
              </w:rPr>
              <w:t>Todd Cunfer</w:t>
            </w:r>
            <w:r>
              <w:rPr>
                <w:rFonts w:ascii="Times New Roman" w:cs="Times New Roman" w:eastAsia="Times New Roman" w:hAnsi="Times New Roman"/>
                <w:sz w:val="22"/>
                <w:szCs w:val="22"/>
                <w:b w:val="1"/>
                <w:bCs w:val="1"/>
                <w:color w:val="auto"/>
                <w:vertAlign w:val="superscript"/>
              </w:rPr>
              <w:t>(7)</w:t>
            </w:r>
          </w:p>
        </w:tc>
        <w:tc>
          <w:tcPr>
            <w:tcW w:w="86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2022</w:t>
            </w:r>
          </w:p>
        </w:tc>
        <w:tc>
          <w:tcPr>
            <w:tcW w:w="13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41,667</w:t>
            </w:r>
          </w:p>
        </w:tc>
        <w:tc>
          <w:tcPr>
            <w:tcW w:w="136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1,500,000</w:t>
            </w:r>
          </w:p>
        </w:tc>
        <w:tc>
          <w:tcPr>
            <w:tcW w:w="136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1,500,000</w:t>
            </w:r>
          </w:p>
        </w:tc>
        <w:tc>
          <w:tcPr>
            <w:tcW w:w="13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12,230</w:t>
            </w:r>
          </w:p>
        </w:tc>
        <w:tc>
          <w:tcPr>
            <w:tcW w:w="13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3,053,897</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Chief Financial</w:t>
            </w:r>
          </w:p>
        </w:tc>
        <w:tc>
          <w:tcPr>
            <w:tcW w:w="8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8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Thembi Machaba</w:t>
            </w:r>
          </w:p>
        </w:tc>
        <w:tc>
          <w:tcPr>
            <w:tcW w:w="86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2022</w:t>
            </w:r>
          </w:p>
        </w:tc>
        <w:tc>
          <w:tcPr>
            <w:tcW w:w="13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340,000</w:t>
            </w:r>
          </w:p>
        </w:tc>
        <w:tc>
          <w:tcPr>
            <w:tcW w:w="136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65,280</w:t>
            </w:r>
          </w:p>
        </w:tc>
        <w:tc>
          <w:tcPr>
            <w:tcW w:w="132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2,448</w:t>
            </w:r>
          </w:p>
        </w:tc>
        <w:tc>
          <w:tcPr>
            <w:tcW w:w="1320" w:type="dxa"/>
            <w:vAlign w:val="bottom"/>
            <w:tcBorders>
              <w:right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407,728</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Senior Vice President, Human</w:t>
            </w:r>
          </w:p>
        </w:tc>
        <w:tc>
          <w:tcPr>
            <w:tcW w:w="8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Resources</w:t>
            </w:r>
          </w:p>
        </w:tc>
        <w:tc>
          <w:tcPr>
            <w:tcW w:w="8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Cathal Walsh</w:t>
            </w: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348,379</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156,235</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564,614</w:t>
            </w:r>
          </w:p>
        </w:tc>
        <w:tc>
          <w:tcPr>
            <w:tcW w:w="0" w:type="dxa"/>
            <w:vAlign w:val="bottom"/>
          </w:tcPr>
          <w:p>
            <w:pPr>
              <w:spacing w:after="0"/>
              <w:rPr>
                <w:sz w:val="1"/>
                <w:szCs w:val="1"/>
                <w:color w:val="auto"/>
              </w:rPr>
            </w:pPr>
          </w:p>
        </w:tc>
      </w:tr>
      <w:tr>
        <w:trPr>
          <w:trHeight w:val="210"/>
        </w:trPr>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Managing Director Europe</w:t>
            </w: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429,231</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149,977</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35,275</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614,483</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285,000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3,204,674</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103,767</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3,593,441</w:t>
            </w:r>
          </w:p>
        </w:tc>
        <w:tc>
          <w:tcPr>
            <w:tcW w:w="0" w:type="dxa"/>
            <w:vAlign w:val="bottom"/>
          </w:tcPr>
          <w:p>
            <w:pPr>
              <w:spacing w:after="0"/>
              <w:rPr>
                <w:sz w:val="1"/>
                <w:szCs w:val="1"/>
                <w:color w:val="auto"/>
              </w:rPr>
            </w:pPr>
          </w:p>
        </w:tc>
      </w:tr>
      <w:tr>
        <w:trPr>
          <w:trHeight w:val="210"/>
        </w:trPr>
        <w:tc>
          <w:tcPr>
            <w:tcW w:w="2320" w:type="dxa"/>
            <w:vAlign w:val="bottom"/>
            <w:tcBorders>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color w:val="auto"/>
              </w:rPr>
              <w:t>Heather Pomerantz</w:t>
            </w:r>
            <w:r>
              <w:rPr>
                <w:rFonts w:ascii="Times New Roman" w:cs="Times New Roman" w:eastAsia="Times New Roman" w:hAnsi="Times New Roman"/>
                <w:sz w:val="24"/>
                <w:szCs w:val="24"/>
                <w:b w:val="1"/>
                <w:bCs w:val="1"/>
                <w:color w:val="auto"/>
                <w:vertAlign w:val="superscript"/>
              </w:rPr>
              <w:t>(8)</w:t>
            </w: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294,800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639,891</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934,691</w:t>
            </w:r>
          </w:p>
        </w:tc>
        <w:tc>
          <w:tcPr>
            <w:tcW w:w="0" w:type="dxa"/>
            <w:vAlign w:val="bottom"/>
          </w:tcPr>
          <w:p>
            <w:pPr>
              <w:spacing w:after="0"/>
              <w:rPr>
                <w:sz w:val="1"/>
                <w:szCs w:val="1"/>
                <w:color w:val="auto"/>
              </w:rPr>
            </w:pPr>
          </w:p>
        </w:tc>
      </w:tr>
      <w:tr>
        <w:trPr>
          <w:trHeight w:val="210"/>
        </w:trPr>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425,000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58,225</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10,921</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494,146</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7,972,163</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196,106</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9,846</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8,578,115</w:t>
            </w:r>
          </w:p>
        </w:tc>
        <w:tc>
          <w:tcPr>
            <w:tcW w:w="0" w:type="dxa"/>
            <w:vAlign w:val="bottom"/>
          </w:tcPr>
          <w:p>
            <w:pPr>
              <w:spacing w:after="0"/>
              <w:rPr>
                <w:sz w:val="1"/>
                <w:szCs w:val="1"/>
                <w:color w:val="auto"/>
              </w:rPr>
            </w:pPr>
          </w:p>
        </w:tc>
      </w:tr>
      <w:tr>
        <w:trPr>
          <w:trHeight w:val="210"/>
        </w:trPr>
        <w:tc>
          <w:tcPr>
            <w:tcW w:w="2320" w:type="dxa"/>
            <w:vAlign w:val="bottom"/>
            <w:tcBorders>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color w:val="auto"/>
              </w:rPr>
              <w:t>Richard Kassar</w:t>
            </w:r>
            <w:r>
              <w:rPr>
                <w:rFonts w:ascii="Times New Roman" w:cs="Times New Roman" w:eastAsia="Times New Roman" w:hAnsi="Times New Roman"/>
                <w:sz w:val="24"/>
                <w:szCs w:val="24"/>
                <w:b w:val="1"/>
                <w:bCs w:val="1"/>
                <w:color w:val="auto"/>
                <w:vertAlign w:val="superscript"/>
              </w:rPr>
              <w:t>(9)</w:t>
            </w: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19,358</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152,000</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251,358</w:t>
            </w:r>
          </w:p>
        </w:tc>
        <w:tc>
          <w:tcPr>
            <w:tcW w:w="0" w:type="dxa"/>
            <w:vAlign w:val="bottom"/>
          </w:tcPr>
          <w:p>
            <w:pPr>
              <w:spacing w:after="0"/>
              <w:rPr>
                <w:sz w:val="1"/>
                <w:szCs w:val="1"/>
                <w:color w:val="auto"/>
              </w:rPr>
            </w:pPr>
          </w:p>
        </w:tc>
      </w:tr>
      <w:tr>
        <w:trPr>
          <w:trHeight w:val="178"/>
        </w:trPr>
        <w:tc>
          <w:tcPr>
            <w:tcW w:w="23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Interim Chief Financial</w:t>
            </w:r>
          </w:p>
        </w:tc>
        <w:tc>
          <w:tcPr>
            <w:tcW w:w="860" w:type="dxa"/>
            <w:vAlign w:val="bottom"/>
            <w:tcBorders>
              <w:right w:val="single" w:sz="8" w:color="auto"/>
            </w:tcBorders>
          </w:tcPr>
          <w:p>
            <w:pPr>
              <w:ind w:left="220"/>
              <w:spacing w:after="0" w:line="177" w:lineRule="exact"/>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80,000</w:t>
            </w:r>
          </w:p>
        </w:tc>
        <w:tc>
          <w:tcPr>
            <w:tcW w:w="136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10,960</w:t>
            </w:r>
          </w:p>
        </w:tc>
        <w:tc>
          <w:tcPr>
            <w:tcW w:w="13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94,160</w:t>
            </w:r>
          </w:p>
        </w:tc>
        <w:tc>
          <w:tcPr>
            <w:tcW w:w="1320" w:type="dxa"/>
            <w:vAlign w:val="bottom"/>
            <w:tcBorders>
              <w:right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185,120</w:t>
            </w:r>
          </w:p>
        </w:tc>
        <w:tc>
          <w:tcPr>
            <w:tcW w:w="0" w:type="dxa"/>
            <w:vAlign w:val="bottom"/>
          </w:tcPr>
          <w:p>
            <w:pPr>
              <w:spacing w:after="0"/>
              <w:rPr>
                <w:sz w:val="1"/>
                <w:szCs w:val="1"/>
                <w:color w:val="auto"/>
              </w:rPr>
            </w:pPr>
          </w:p>
        </w:tc>
      </w:tr>
      <w:tr>
        <w:trPr>
          <w:trHeight w:val="32"/>
        </w:trPr>
        <w:tc>
          <w:tcPr>
            <w:tcW w:w="2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Officer/Vice Chairman</w:t>
            </w:r>
          </w:p>
        </w:tc>
        <w:tc>
          <w:tcPr>
            <w:tcW w:w="8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right w:val="single" w:sz="8" w:color="auto"/>
            </w:tcBorders>
            <w:vMerge w:val="continue"/>
          </w:tcPr>
          <w:p>
            <w:pPr>
              <w:spacing w:after="0"/>
              <w:rPr>
                <w:sz w:val="18"/>
                <w:szCs w:val="18"/>
                <w:color w:val="auto"/>
              </w:rPr>
            </w:pPr>
          </w:p>
        </w:tc>
        <w:tc>
          <w:tcPr>
            <w:tcW w:w="8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282,000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166,656</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80,880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11,400</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540,936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base salary earned during the year, including any amounts voluntarily deferred under our qualified 401(k) plan.</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RSUs granted in the year computed in accordance with FASB ASC Topic 718 and are based on the valuation assumptions described in Note 9 to our consolidated financial statements included in our annual report.</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options granted in the year computed in accordance with FASB ASC Topic 718 and are based on the valuation assumptions described in Note 9 to our consolidated financial statements included in our annual report.</w:t>
      </w:r>
    </w:p>
    <w:p>
      <w:pPr>
        <w:spacing w:after="0" w:line="161" w:lineRule="exact"/>
        <w:rPr>
          <w:rFonts w:ascii="Times New Roman" w:cs="Times New Roman" w:eastAsia="Times New Roman" w:hAnsi="Times New Roman"/>
          <w:sz w:val="18"/>
          <w:szCs w:val="18"/>
          <w:color w:val="auto"/>
        </w:rPr>
      </w:pPr>
    </w:p>
    <w:p>
      <w:pPr>
        <w:jc w:val="both"/>
        <w:ind w:left="660" w:right="4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cash awards earned by our NEOs under the Company’s annual incentive plan and with respect to ESG goals established for executives. Please see “Annual Incentive Awards” and “Executive ESG Goals” in the CD&amp;A above for further information about our annual incentive plan.</w:t>
      </w:r>
    </w:p>
    <w:p>
      <w:pPr>
        <w:spacing w:after="0" w:line="17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matching Company contributions under our 401(k) plan. In addition, includes for Ms. Pomerantz in 2022 amounts received in connection with her separation from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Cyr also serves as a member of the Board but does not receive any additional compensation for his service as a director.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Cunfer began serving as the Company’s Chief Financial Officer in December 2022.</w:t>
      </w:r>
    </w:p>
    <w:p>
      <w:pPr>
        <w:spacing w:after="0" w:line="252"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Pomerantz began serving as the Company’s Chief Financial Officer in October 2020, at which time she became an NEO. Ms. Pomerantz departed from the Company on September 7, 2022. Ms. Pomerantz’s total compensation for 2022 includes $628,099 paid in connection with her separation from the Company.</w:t>
      </w:r>
    </w:p>
    <w:p>
      <w:pPr>
        <w:spacing w:after="0" w:line="175"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Kassar began serving as the Company’s Interim Chief Financial Officer in September 2022 and served through November 2022. Mr. Kassar’s total compensation for 2022 reflects three months of employment for the year, with the remainder earned as consulting fees in his role as Vice Chairman. Mr. Kassar’s total compensation for 2021 reflects six months of employment for the year, with the remainder earned as consulting fees in his role as Vice Chairman.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2022 Grants of Plan-Based Awards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grants of plan-based awards to our NEOs during 2022. Please see “Annual Incentive Awards” in the CD&amp;A above for additional information about the non-equity incentive plan awards reflected in the table below. Please see the “2022 Outstanding Equity Awards at Fiscal Year-End” table below for additional information about the vesting parameters that are applicable to equity awards reflected in the table immediately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80" w:type="dxa"/>
            <w:vAlign w:val="bottom"/>
            <w:tcBorders>
              <w:top w:val="single" w:sz="8" w:color="auto"/>
              <w:left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10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gridSpan w:val="3"/>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Estimated Future Payouts Under Non-</w:t>
            </w:r>
          </w:p>
        </w:tc>
        <w:tc>
          <w:tcPr>
            <w:tcW w:w="12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3440" w:type="dxa"/>
            <w:vAlign w:val="bottom"/>
            <w:tcBorders>
              <w:right w:val="single" w:sz="8" w:color="auto"/>
            </w:tcBorders>
            <w:gridSpan w:val="3"/>
            <w:vMerge w:val="continue"/>
          </w:tcPr>
          <w:p>
            <w:pPr>
              <w:spacing w:after="0"/>
              <w:rPr>
                <w:sz w:val="17"/>
                <w:szCs w:val="17"/>
                <w:color w:val="auto"/>
              </w:rPr>
            </w:pPr>
          </w:p>
        </w:tc>
        <w:tc>
          <w:tcPr>
            <w:tcW w:w="1220" w:type="dxa"/>
            <w:vAlign w:val="bottom"/>
            <w:tcBorders>
              <w:right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Stock</w:t>
            </w:r>
          </w:p>
        </w:tc>
        <w:tc>
          <w:tcPr>
            <w:tcW w:w="11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38"/>
        </w:trPr>
        <w:tc>
          <w:tcPr>
            <w:tcW w:w="1080" w:type="dxa"/>
            <w:vAlign w:val="bottom"/>
            <w:tcBorders>
              <w:left w:val="single" w:sz="8" w:color="auto"/>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3440" w:type="dxa"/>
            <w:vAlign w:val="bottom"/>
            <w:tcBorders>
              <w:bottom w:val="single" w:sz="8" w:color="auto"/>
              <w:right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Equity Incentive Plan Awards</w:t>
            </w:r>
          </w:p>
        </w:tc>
        <w:tc>
          <w:tcPr>
            <w:tcW w:w="12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or</w:t>
            </w:r>
          </w:p>
        </w:tc>
        <w:tc>
          <w:tcPr>
            <w:tcW w:w="11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1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Base Price</w:t>
            </w:r>
          </w:p>
        </w:tc>
        <w:tc>
          <w:tcPr>
            <w:tcW w:w="1160" w:type="dxa"/>
            <w:vAlign w:val="bottom"/>
            <w:tcBorders>
              <w:right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Stock and</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Option</w:t>
            </w:r>
          </w:p>
        </w:tc>
        <w:tc>
          <w:tcPr>
            <w:tcW w:w="11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20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2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Stock or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Award Type</w:t>
            </w:r>
          </w:p>
        </w:tc>
        <w:tc>
          <w:tcPr>
            <w:tcW w:w="1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2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Units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116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4"/>
        </w:trPr>
        <w:tc>
          <w:tcPr>
            <w:tcW w:w="108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William B.</w:t>
            </w:r>
          </w:p>
        </w:tc>
        <w:tc>
          <w:tcPr>
            <w:tcW w:w="10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Annual</w:t>
            </w:r>
          </w:p>
        </w:tc>
        <w:tc>
          <w:tcPr>
            <w:tcW w:w="10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Cyr</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235,600</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589,000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1,472,500</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Annual</w:t>
            </w: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 Morris</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122,400</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306,000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765,000</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Todd Cunfer</w:t>
            </w: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Annual</w:t>
            </w: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10,192</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25,479(1)</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63,698</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Inducement</w:t>
            </w: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w:t>
            </w: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0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12/1/2022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40,120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67.02</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Inducement</w:t>
            </w: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Grant (RSUs)</w:t>
            </w:r>
          </w:p>
        </w:tc>
        <w:tc>
          <w:tcPr>
            <w:tcW w:w="10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12/1/2022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22,381</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Thembeka</w:t>
            </w: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Annual</w:t>
            </w: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Machaba</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54,400</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136,000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340,000</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Cathal Walsh</w:t>
            </w: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Annual</w:t>
            </w: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125,000</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312,500</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RSU Grant</w:t>
            </w: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under 2014</w:t>
            </w: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0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3/14/2022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156,235(5)</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Heather</w:t>
            </w:r>
          </w:p>
        </w:tc>
        <w:tc>
          <w:tcPr>
            <w:tcW w:w="1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Annual</w:t>
            </w: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Pomerantz</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59,068</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147,671(2)</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369,178</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w:t>
            </w:r>
          </w:p>
        </w:tc>
        <w:tc>
          <w:tcPr>
            <w:tcW w:w="10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Kassar</w:t>
            </w: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(Interim</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Annual</w:t>
            </w: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16,131</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40,329(3)</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100,822</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w:t>
            </w:r>
          </w:p>
        </w:tc>
        <w:tc>
          <w:tcPr>
            <w:tcW w:w="10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Kassar (Vice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Annual</w:t>
            </w:r>
          </w:p>
        </w:tc>
        <w:tc>
          <w:tcPr>
            <w:tcW w:w="10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24,000</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60,000(3)</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righ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Cunfer’s target bonus opportunity was prorated at 8% for 2022, based upon the number of full months during the year which he was employed with the Company.</w:t>
      </w:r>
    </w:p>
    <w:p>
      <w:pPr>
        <w:spacing w:after="0" w:line="161" w:lineRule="exact"/>
        <w:rPr>
          <w:rFonts w:ascii="Times New Roman" w:cs="Times New Roman" w:eastAsia="Times New Roman" w:hAnsi="Times New Roman"/>
          <w:sz w:val="18"/>
          <w:szCs w:val="18"/>
          <w:color w:val="auto"/>
        </w:rPr>
      </w:pPr>
    </w:p>
    <w:p>
      <w:pPr>
        <w:ind w:left="340" w:right="66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Pomerantz’s target bonus opportunity was prorated at 67% for 2022, based upon the number of full months during the year which she was employed with the Company.</w:t>
      </w:r>
    </w:p>
    <w:p>
      <w:pPr>
        <w:spacing w:after="0" w:line="16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Kassar’s target bonus opportunity for his work as Interim Chief Financial Officer was prorated at 25% for 2022, based upon the time in which he served in that role. Mr. Kassar also received a bonus as Vice Chair, which was $60,000 for the remaining 75% of the year.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vest in three equal annual installments beginning March 14, 2023.</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aggregate grant date fair value of RSUs granted in the year computed in accordance with FASB ASC Topic 718 and is based on the valuation assumptions described in Note 9 to our consolidated financial statements included in our annual report.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2022 Outstanding Equity Awards at Fiscal Year-End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at December 31, 2022. Vesting of awards reflected in the table is generally subject to continuous service with the Company, with accelerated vesting in certain circumstances, as reflected in the footnotes to the table.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8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820" w:type="dxa"/>
            <w:vAlign w:val="bottom"/>
            <w:tcBorders>
              <w:top w:val="single" w:sz="8" w:color="auto"/>
              <w:bottom w:val="single" w:sz="8" w:color="auto"/>
              <w:right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62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94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82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or</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Unearned</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or</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That</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8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8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w:t>
            </w:r>
          </w:p>
        </w:tc>
      </w:tr>
      <w:tr>
        <w:trPr>
          <w:trHeight w:val="216"/>
        </w:trPr>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38"/>
        </w:trPr>
        <w:tc>
          <w:tcPr>
            <w:tcW w:w="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4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09"/>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9/6/2016</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9/6/2026</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 Cyr</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12/24/2020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27,344</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41,016(1)</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205,079(2)</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142.79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12/24/2030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9/27/2016</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9/27/2026</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4/3/2017</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81,949</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4/3/2027</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2,604(4)</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12/24/2020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30,762(1)</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153,809(2)</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142.79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12/24/2030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Todd</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12/1/2022</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40,120(5)</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12/1/2032</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Cunfer</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12/1/2022</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22,381(5)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1,181,045(6)</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Thembeka</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Machaba</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12/24/2020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16,408</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82,031(2)</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142.79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12/24/2030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Cathal</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5/10/2016</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20,463</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5/10/2026</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Walsh</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4/3/2017</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4/3/2027</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3/30/2018</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3/30/2028</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4/1/2019</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4/1/2029</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11,670(7)</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111.65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20,000(8)</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111.65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3/12/2021</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33,667(6)</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3/14/2022</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97,730(6)</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Richard</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9/27/2016</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9/27/2026</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Kassar</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4/3/2017</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4/3/2027</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3/30/2018</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4,471(4)</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3/30/2028</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4/1/2019</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4/1/2029</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3/12/2021</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1,658(4)</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3/14/2022</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78,152(6)</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Heather</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5,000(3)</w:t>
            </w: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60.70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Pomerantz</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3,289(4)</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12/24/2020</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20,508(1)</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102,539(2)</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142.79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12/24/2030</w:t>
            </w:r>
          </w:p>
        </w:tc>
        <w:tc>
          <w:tcPr>
            <w:tcW w:w="10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8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vest annually in approximately equal installments on the first four anniversaries of the grant date, subject to continued employment, with accelerated pro rata vesting based on the number of days worked following the grant date upon a termination of employment by the Company without cause or upon a resignation by the executive for good reason (as defined in the grant agreement) within two years after a change in control of the Company.</w:t>
      </w:r>
    </w:p>
    <w:p>
      <w:pPr>
        <w:spacing w:after="0" w:line="179" w:lineRule="exact"/>
        <w:rPr>
          <w:rFonts w:ascii="Times New Roman" w:cs="Times New Roman" w:eastAsia="Times New Roman" w:hAnsi="Times New Roman"/>
          <w:sz w:val="18"/>
          <w:szCs w:val="18"/>
          <w:color w:val="auto"/>
        </w:rPr>
      </w:pPr>
    </w:p>
    <w:p>
      <w:pPr>
        <w:ind w:left="340" w:right="20" w:hanging="332"/>
        <w:spacing w:after="0" w:line="25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to vest based upon the achievement of performance goals upon the conclusion of a four-year performance period, subject to continued employment, with (a) the opportunity to vest in a pro rata portion based on the number of days employed during the performance period upon a termination by the Company other than for cause, based on actual Company performance through the end of the performance period, and (b) the opportunity to vest in part or in full upon a termination of employment by the Company without cause or upon a resignation by the executive for good reason (as defined in the grant agreement) within a two years after a change in control of the Company, based on actual Company performance through the change in control. For competitive reasons, these performance goals shall not be disclosed until the end of the performance period.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329" w:gutter="0" w:footer="0" w:header="0"/>
        </w:sectPr>
      </w:pPr>
    </w:p>
    <w:bookmarkStart w:id="33" w:name="page34"/>
    <w:bookmarkEnd w:id="33"/>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vest annually in approximately equal installments on the first three anniversaries of the grant date, subject to continued employment, with accelerated vesting in full upon termination of employment by the Company without cause or upon a resignation by the executive for good reason (as defined in the grant agreement) within two years after a change in control of the Company.</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to vest in equal annual installments based upon the achievement of performance goals that the Compensation Committee considers moderate to difficult to achieve, subject to continued employment through each vesting date.</w:t>
      </w:r>
    </w:p>
    <w:p>
      <w:pPr>
        <w:spacing w:after="0" w:line="161"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vest annually in approximately equal installments on the first three anniversaries of the grant date, subject to the Executive’s continued employment through such vesting dates.</w:t>
      </w:r>
    </w:p>
    <w:p>
      <w:pPr>
        <w:spacing w:after="0" w:line="161"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value as of December 31, 2022 based on the Company’s closing stock price of $52.77 as of December 30, 2022, the last trading day during 2022.</w:t>
      </w:r>
    </w:p>
    <w:p>
      <w:pPr>
        <w:spacing w:after="0" w:line="161" w:lineRule="exact"/>
        <w:rPr>
          <w:rFonts w:ascii="Times New Roman" w:cs="Times New Roman" w:eastAsia="Times New Roman" w:hAnsi="Times New Roman"/>
          <w:sz w:val="18"/>
          <w:szCs w:val="18"/>
          <w:color w:val="auto"/>
        </w:rPr>
      </w:pPr>
    </w:p>
    <w:p>
      <w:pPr>
        <w:ind w:left="340" w:right="7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vest annually in approximately equal installments on the first three anniversaries of the grant date, with accelerated vesting if, in connection with a change of Control of the Company, the options are not assumed, repurchased by the Company, or terminated.</w:t>
      </w:r>
    </w:p>
    <w:p>
      <w:pPr>
        <w:spacing w:after="0" w:line="161"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to vest based upon the achievement of a net sales goal for 2023 that the Compensation Committee considers moderate to difficult to achieve, with the opportunity to (i) upon a termination of employment by the Company without cause or upon a resignation by the executive for good reason (as defined in the grant agreement), vest on a pro-rated basis based on the number of days employed during the performance period, based on actual Company performance through the end of the performance period and (ii) vest in full upon a change in control of the Company if, in connection with a change of Control of the Company, the options are not assumed, repurchased by the Company, or terminated.</w:t>
      </w:r>
    </w:p>
    <w:p>
      <w:pPr>
        <w:spacing w:after="0" w:line="183"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vest in three equal annual installments on the first three anniversaries of the grant date, with accelerated vesting in full upon termination due to death or Disability, Involuntary Termination Without Cause or Voluntary Resignation with Good Reason (as each is defined in the award agreement).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Options Exercises and Stock Vested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vesting of stock awards owned by one of our NEOs during 2022. None of our NEOs exercised of stock options by our NEOs in 2022.</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7900" w:type="dxa"/>
            <w:vAlign w:val="bottom"/>
            <w:tcBorders>
              <w:top w:val="single" w:sz="8" w:color="auto"/>
              <w:left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60" w:type="dxa"/>
            <w:vAlign w:val="bottom"/>
            <w:tcBorders>
              <w:top w:val="single" w:sz="8" w:color="auto"/>
              <w:right w:val="single" w:sz="8" w:color="auto"/>
            </w:tcBorders>
          </w:tcPr>
          <w:p>
            <w:pPr>
              <w:spacing w:after="0"/>
              <w:rPr>
                <w:sz w:val="18"/>
                <w:szCs w:val="18"/>
                <w:color w:val="auto"/>
              </w:rPr>
            </w:pPr>
          </w:p>
        </w:tc>
      </w:tr>
      <w:tr>
        <w:trPr>
          <w:trHeight w:val="216"/>
        </w:trPr>
        <w:tc>
          <w:tcPr>
            <w:tcW w:w="790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Realized on</w:t>
            </w:r>
          </w:p>
        </w:tc>
      </w:tr>
      <w:tr>
        <w:trPr>
          <w:trHeight w:val="216"/>
        </w:trPr>
        <w:tc>
          <w:tcPr>
            <w:tcW w:w="790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Vesting</w:t>
            </w:r>
          </w:p>
        </w:tc>
      </w:tr>
      <w:tr>
        <w:trPr>
          <w:trHeight w:val="255"/>
        </w:trPr>
        <w:tc>
          <w:tcPr>
            <w:tcW w:w="7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r>
      <w:tr>
        <w:trPr>
          <w:trHeight w:val="193"/>
        </w:trPr>
        <w:tc>
          <w:tcPr>
            <w:tcW w:w="7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William B. Cyr</w:t>
            </w:r>
          </w:p>
        </w:tc>
        <w:tc>
          <w:tcPr>
            <w:tcW w:w="168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Scott Morris</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Todd Cunfer</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Thembi Machaba</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Cathal Walsh</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29,170</w:t>
            </w:r>
          </w:p>
        </w:tc>
      </w:tr>
      <w:tr>
        <w:trPr>
          <w:trHeight w:val="210"/>
        </w:trPr>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Richard Kassar</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Heather Pomerantz</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market value of the underlying shares on the vesting date based on $91.73, the closing price of the common stock on March 11, 2022, the last trading date prior to the vesting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the Company does not sponsor or adopt any pension plans (other than our 401(k)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the Company does not sponsor or adopt a nonqualified deferred compensation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the severance payments and the change in control payments that could have been made to our NEOs had they experienced a termination of employment or a change in control as of December 30, 2022. The fair market value of a share of our common stock on December 30, 2022, was $52.77. The table only includes information for employment termination and change in control events that trigger vesting or severance-related payments, and assumes that each NEO will take all action necessary to receive the maximum available benefit, such as execution of a release of claims. Any amounts payable to the NEOs in the event of a change in control of the Company may be subject to reduction under Code Sections 280G and 4999. The amounts below are estimates of the incremental amounts that could be received upon a change in control or termination of employment; the actual amount could be determined only at the time of any actual change in control or termination of employment.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Ms. Pomerantz’s departure from the Company, on October 13, 2022, the Company and Ms. Pomerantz entered into a Separation Agreement and General Release of Claims (the “Separation Agreement”) pursuant to which Ms. Pomerantz is entitled to receive (i) a continuation of her annual base salary until September 30, 2023, (ii) payment for the employer portion of the premiums for her continued health coverage until the earliest of September 30, 2023, the date that she becomes eligible for coverage under a subsequent employer’s plan, or the date that she ceases to be eligible for continued coverage, (iii) a pro-rated annual bonus for fiscal year 2022 (if any), to be paid in 2023, in an amount to be determined based upon the actual level of achievement of any applicable performance goals as identified by the Company, its board of directors or a committee thereof and (iv) a sum of $75,000, payable in three equal monthly installments over a period of three months, beginning in October 2022 and ending in December 2022, for her consultancy services during such time in assisting with the orderly transition of her former duties.</w:t>
      </w:r>
    </w:p>
    <w:p>
      <w:pPr>
        <w:spacing w:after="0" w:line="187" w:lineRule="exact"/>
        <w:rPr>
          <w:sz w:val="20"/>
          <w:szCs w:val="20"/>
          <w:color w:val="auto"/>
        </w:rPr>
      </w:pPr>
    </w:p>
    <w:tbl>
      <w:tblPr>
        <w:tblLayout w:type="fixed"/>
        <w:tblInd w:w="670" w:type="dxa"/>
        <w:tblCellMar>
          <w:top w:w="0" w:type="dxa"/>
          <w:left w:w="0" w:type="dxa"/>
          <w:bottom w:w="0" w:type="dxa"/>
          <w:right w:w="0" w:type="dxa"/>
        </w:tblCellMar>
      </w:tblPr>
      <w:tr>
        <w:trPr>
          <w:trHeight w:val="210"/>
        </w:trPr>
        <w:tc>
          <w:tcPr>
            <w:tcW w:w="426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1580" w:type="dxa"/>
            <w:vAlign w:val="bottom"/>
            <w:tcBorders>
              <w:top w:val="single" w:sz="8" w:color="auto"/>
              <w:right w:val="single" w:sz="8" w:color="auto"/>
            </w:tcBorders>
            <w:shd w:val="clear" w:color="auto" w:fill="E6E6E6"/>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500" w:type="dxa"/>
            <w:vAlign w:val="bottom"/>
            <w:tcBorders>
              <w:top w:val="single" w:sz="8" w:color="auto"/>
              <w:right w:val="single" w:sz="8" w:color="auto"/>
            </w:tcBorders>
            <w:shd w:val="clear" w:color="auto" w:fill="E6E6E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COBRA</w:t>
            </w:r>
          </w:p>
        </w:tc>
        <w:tc>
          <w:tcPr>
            <w:tcW w:w="1600" w:type="dxa"/>
            <w:vAlign w:val="bottom"/>
            <w:tcBorders>
              <w:top w:val="single" w:sz="8" w:color="auto"/>
              <w:right w:val="single" w:sz="8" w:color="auto"/>
            </w:tcBorders>
            <w:shd w:val="clear" w:color="auto" w:fill="E6E6E6"/>
          </w:tcPr>
          <w:p>
            <w:pPr>
              <w:ind w:left="4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60" w:type="dxa"/>
            <w:vAlign w:val="bottom"/>
            <w:tcBorders>
              <w:top w:val="single" w:sz="8" w:color="auto"/>
              <w:right w:val="single" w:sz="8" w:color="auto"/>
            </w:tcBorders>
            <w:shd w:val="clear" w:color="auto" w:fill="E6E6E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5"/>
        </w:trPr>
        <w:tc>
          <w:tcPr>
            <w:tcW w:w="4260" w:type="dxa"/>
            <w:vAlign w:val="bottom"/>
            <w:tcBorders>
              <w:left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tcBorders>
              <w:bottom w:val="single" w:sz="8" w:color="auto"/>
              <w:right w:val="single" w:sz="8" w:color="auto"/>
            </w:tcBorders>
            <w:shd w:val="clear" w:color="auto" w:fill="E6E6E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right w:val="single" w:sz="8" w:color="auto"/>
            </w:tcBorders>
            <w:shd w:val="clear" w:color="auto" w:fill="E6E6E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right w:val="single" w:sz="8" w:color="auto"/>
            </w:tcBorders>
            <w:shd w:val="clear" w:color="auto" w:fill="E6E6E6"/>
          </w:tcPr>
          <w:p>
            <w:pPr>
              <w:ind w:left="420"/>
              <w:spacing w:after="0"/>
              <w:rPr>
                <w:sz w:val="20"/>
                <w:szCs w:val="20"/>
                <w:color w:val="auto"/>
              </w:rPr>
            </w:pPr>
            <w:r>
              <w:rPr>
                <w:rFonts w:ascii="Times New Roman" w:cs="Times New Roman" w:eastAsia="Times New Roman" w:hAnsi="Times New Roman"/>
                <w:sz w:val="18"/>
                <w:szCs w:val="18"/>
                <w:b w:val="1"/>
                <w:bCs w:val="1"/>
                <w:color w:val="auto"/>
              </w:rPr>
              <w:t>($)(15)</w:t>
            </w:r>
          </w:p>
        </w:tc>
        <w:tc>
          <w:tcPr>
            <w:tcW w:w="1160" w:type="dxa"/>
            <w:vAlign w:val="bottom"/>
            <w:tcBorders>
              <w:bottom w:val="single" w:sz="8" w:color="auto"/>
              <w:right w:val="single" w:sz="8" w:color="auto"/>
            </w:tcBorders>
            <w:shd w:val="clear" w:color="auto" w:fill="E6E6E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4260" w:type="dxa"/>
            <w:vAlign w:val="bottom"/>
            <w:tcBorders>
              <w:left w:val="single" w:sz="8" w:color="E6E6E6"/>
              <w:bottom w:val="single" w:sz="8" w:color="auto"/>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William B. Cyr</w:t>
            </w: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c>
          <w:tcPr>
            <w:tcW w:w="1500" w:type="dxa"/>
            <w:vAlign w:val="bottom"/>
            <w:tcBorders>
              <w:bottom w:val="single" w:sz="8" w:color="auto"/>
              <w:right w:val="single" w:sz="8" w:color="E6E6E6"/>
            </w:tcBorders>
            <w:shd w:val="clear" w:color="auto" w:fill="E6E6E6"/>
          </w:tcPr>
          <w:p>
            <w:pPr>
              <w:spacing w:after="0"/>
              <w:rPr>
                <w:sz w:val="18"/>
                <w:szCs w:val="18"/>
                <w:color w:val="auto"/>
              </w:rPr>
            </w:pPr>
          </w:p>
        </w:tc>
        <w:tc>
          <w:tcPr>
            <w:tcW w:w="1600" w:type="dxa"/>
            <w:vAlign w:val="bottom"/>
            <w:tcBorders>
              <w:bottom w:val="single" w:sz="8" w:color="auto"/>
              <w:right w:val="single" w:sz="8" w:color="E6E6E6"/>
            </w:tcBorders>
            <w:shd w:val="clear" w:color="auto" w:fill="E6E6E6"/>
          </w:tcPr>
          <w:p>
            <w:pPr>
              <w:spacing w:after="0"/>
              <w:rPr>
                <w:sz w:val="18"/>
                <w:szCs w:val="18"/>
                <w:color w:val="auto"/>
              </w:rPr>
            </w:pPr>
          </w:p>
        </w:tc>
        <w:tc>
          <w:tcPr>
            <w:tcW w:w="116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due to permanent disability</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46,363(1)</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46,363</w:t>
            </w:r>
          </w:p>
        </w:tc>
      </w:tr>
      <w:tr>
        <w:trPr>
          <w:trHeight w:val="209"/>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(13)</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2,720,250(2)</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46,363(1)</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2,766,613</w:t>
            </w:r>
          </w:p>
        </w:tc>
      </w:tr>
      <w:tr>
        <w:trPr>
          <w:trHeight w:val="209"/>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after change in control</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2,720,250(2)</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46,363(1)</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2,766,613</w:t>
            </w:r>
          </w:p>
        </w:tc>
      </w:tr>
      <w:tr>
        <w:trPr>
          <w:trHeight w:val="209"/>
        </w:trPr>
        <w:tc>
          <w:tcPr>
            <w:tcW w:w="4260" w:type="dxa"/>
            <w:vAlign w:val="bottom"/>
            <w:tcBorders>
              <w:left w:val="single" w:sz="8" w:color="E6E6E6"/>
              <w:bottom w:val="single" w:sz="8" w:color="auto"/>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Scott Morris</w:t>
            </w: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c>
          <w:tcPr>
            <w:tcW w:w="1500" w:type="dxa"/>
            <w:vAlign w:val="bottom"/>
            <w:tcBorders>
              <w:bottom w:val="single" w:sz="8" w:color="auto"/>
              <w:right w:val="single" w:sz="8" w:color="E6E6E6"/>
            </w:tcBorders>
            <w:shd w:val="clear" w:color="auto" w:fill="E6E6E6"/>
          </w:tcPr>
          <w:p>
            <w:pPr>
              <w:spacing w:after="0"/>
              <w:rPr>
                <w:sz w:val="18"/>
                <w:szCs w:val="18"/>
                <w:color w:val="auto"/>
              </w:rPr>
            </w:pPr>
          </w:p>
        </w:tc>
        <w:tc>
          <w:tcPr>
            <w:tcW w:w="1600" w:type="dxa"/>
            <w:vAlign w:val="bottom"/>
            <w:tcBorders>
              <w:bottom w:val="single" w:sz="8" w:color="auto"/>
              <w:right w:val="single" w:sz="8" w:color="E6E6E6"/>
            </w:tcBorders>
            <w:shd w:val="clear" w:color="auto" w:fill="E6E6E6"/>
          </w:tcPr>
          <w:p>
            <w:pPr>
              <w:spacing w:after="0"/>
              <w:rPr>
                <w:sz w:val="18"/>
                <w:szCs w:val="18"/>
                <w:color w:val="auto"/>
              </w:rPr>
            </w:pPr>
          </w:p>
        </w:tc>
        <w:tc>
          <w:tcPr>
            <w:tcW w:w="116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due to permanent disability</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30,908(3)</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(14)</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656,880(4)</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30,908(3)</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687,788</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after change in control</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656,880(4)</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30,908(3)</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687,788</w:t>
            </w:r>
          </w:p>
        </w:tc>
      </w:tr>
      <w:tr>
        <w:trPr>
          <w:trHeight w:val="210"/>
        </w:trPr>
        <w:tc>
          <w:tcPr>
            <w:tcW w:w="4260" w:type="dxa"/>
            <w:vAlign w:val="bottom"/>
            <w:tcBorders>
              <w:left w:val="single" w:sz="8" w:color="E6E6E6"/>
              <w:bottom w:val="single" w:sz="8" w:color="auto"/>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Heather Pomerantz</w:t>
            </w: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c>
          <w:tcPr>
            <w:tcW w:w="1500" w:type="dxa"/>
            <w:vAlign w:val="bottom"/>
            <w:tcBorders>
              <w:bottom w:val="single" w:sz="8" w:color="auto"/>
              <w:right w:val="single" w:sz="8" w:color="E6E6E6"/>
            </w:tcBorders>
            <w:shd w:val="clear" w:color="auto" w:fill="E6E6E6"/>
          </w:tcPr>
          <w:p>
            <w:pPr>
              <w:spacing w:after="0"/>
              <w:rPr>
                <w:sz w:val="18"/>
                <w:szCs w:val="18"/>
                <w:color w:val="auto"/>
              </w:rPr>
            </w:pPr>
          </w:p>
        </w:tc>
        <w:tc>
          <w:tcPr>
            <w:tcW w:w="1600" w:type="dxa"/>
            <w:vAlign w:val="bottom"/>
            <w:tcBorders>
              <w:bottom w:val="single" w:sz="8" w:color="auto"/>
              <w:right w:val="single" w:sz="8" w:color="E6E6E6"/>
            </w:tcBorders>
            <w:shd w:val="clear" w:color="auto" w:fill="E6E6E6"/>
          </w:tcPr>
          <w:p>
            <w:pPr>
              <w:spacing w:after="0"/>
              <w:rPr>
                <w:sz w:val="18"/>
                <w:szCs w:val="18"/>
                <w:color w:val="auto"/>
              </w:rPr>
            </w:pPr>
          </w:p>
        </w:tc>
        <w:tc>
          <w:tcPr>
            <w:tcW w:w="116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due to permanent disability</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(13)</w:t>
            </w: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392,421(11)</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392,421</w:t>
            </w:r>
          </w:p>
        </w:tc>
      </w:tr>
      <w:tr>
        <w:trPr>
          <w:trHeight w:val="209"/>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after change in control</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9"/>
              </w:rPr>
              <w:t>—(10)</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Borders>
              <w:left w:val="single" w:sz="8" w:color="E6E6E6"/>
              <w:bottom w:val="single" w:sz="8" w:color="auto"/>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Todd Cunfer</w:t>
            </w: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c>
          <w:tcPr>
            <w:tcW w:w="1500" w:type="dxa"/>
            <w:vAlign w:val="bottom"/>
            <w:tcBorders>
              <w:bottom w:val="single" w:sz="8" w:color="auto"/>
              <w:right w:val="single" w:sz="8" w:color="E6E6E6"/>
            </w:tcBorders>
            <w:shd w:val="clear" w:color="auto" w:fill="E6E6E6"/>
          </w:tcPr>
          <w:p>
            <w:pPr>
              <w:spacing w:after="0"/>
              <w:rPr>
                <w:sz w:val="18"/>
                <w:szCs w:val="18"/>
                <w:color w:val="auto"/>
              </w:rPr>
            </w:pPr>
          </w:p>
        </w:tc>
        <w:tc>
          <w:tcPr>
            <w:tcW w:w="1600" w:type="dxa"/>
            <w:vAlign w:val="bottom"/>
            <w:tcBorders>
              <w:bottom w:val="single" w:sz="8" w:color="auto"/>
              <w:right w:val="single" w:sz="8" w:color="E6E6E6"/>
            </w:tcBorders>
            <w:shd w:val="clear" w:color="auto" w:fill="E6E6E6"/>
          </w:tcPr>
          <w:p>
            <w:pPr>
              <w:spacing w:after="0"/>
              <w:rPr>
                <w:sz w:val="18"/>
                <w:szCs w:val="18"/>
                <w:color w:val="auto"/>
              </w:rPr>
            </w:pPr>
          </w:p>
        </w:tc>
        <w:tc>
          <w:tcPr>
            <w:tcW w:w="116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due to permanent disability</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30,908(3)</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w:t>
            </w:r>
          </w:p>
        </w:tc>
      </w:tr>
      <w:tr>
        <w:trPr>
          <w:trHeight w:val="209"/>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(13)</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512,230(4)</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30,908(3)</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580,839(12)</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1,123,977</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580,839(12)</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580,839</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after change in control</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512,230(4)</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30,908(3)</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580,839(12)</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1,123,977</w:t>
            </w:r>
          </w:p>
        </w:tc>
      </w:tr>
      <w:tr>
        <w:trPr>
          <w:trHeight w:val="210"/>
        </w:trPr>
        <w:tc>
          <w:tcPr>
            <w:tcW w:w="4260" w:type="dxa"/>
            <w:vAlign w:val="bottom"/>
            <w:tcBorders>
              <w:left w:val="single" w:sz="8" w:color="E6E6E6"/>
              <w:bottom w:val="single" w:sz="8" w:color="auto"/>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Cathal Walsh</w:t>
            </w: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c>
          <w:tcPr>
            <w:tcW w:w="1500" w:type="dxa"/>
            <w:vAlign w:val="bottom"/>
            <w:tcBorders>
              <w:bottom w:val="single" w:sz="8" w:color="auto"/>
              <w:right w:val="single" w:sz="8" w:color="E6E6E6"/>
            </w:tcBorders>
            <w:shd w:val="clear" w:color="auto" w:fill="E6E6E6"/>
          </w:tcPr>
          <w:p>
            <w:pPr>
              <w:spacing w:after="0"/>
              <w:rPr>
                <w:sz w:val="18"/>
                <w:szCs w:val="18"/>
                <w:color w:val="auto"/>
              </w:rPr>
            </w:pPr>
          </w:p>
        </w:tc>
        <w:tc>
          <w:tcPr>
            <w:tcW w:w="1600" w:type="dxa"/>
            <w:vAlign w:val="bottom"/>
            <w:tcBorders>
              <w:bottom w:val="single" w:sz="8" w:color="auto"/>
              <w:right w:val="single" w:sz="8" w:color="E6E6E6"/>
            </w:tcBorders>
            <w:shd w:val="clear" w:color="auto" w:fill="E6E6E6"/>
          </w:tcPr>
          <w:p>
            <w:pPr>
              <w:spacing w:after="0"/>
              <w:rPr>
                <w:sz w:val="18"/>
                <w:szCs w:val="18"/>
                <w:color w:val="auto"/>
              </w:rPr>
            </w:pPr>
          </w:p>
        </w:tc>
        <w:tc>
          <w:tcPr>
            <w:tcW w:w="116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due to permanent disability</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(13)</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348,513(4)</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82,004(14)</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430,518</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82,004(14)</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82,004</w:t>
            </w:r>
          </w:p>
        </w:tc>
      </w:tr>
      <w:tr>
        <w:trPr>
          <w:trHeight w:val="210"/>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Involuntary termination after change in control</w:t>
            </w:r>
          </w:p>
        </w:tc>
        <w:tc>
          <w:tcPr>
            <w:tcW w:w="15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348,513(4)</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82,004(14)</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430,518</w:t>
            </w:r>
          </w:p>
        </w:tc>
      </w:tr>
      <w:tr>
        <w:trPr>
          <w:trHeight w:val="210"/>
        </w:trPr>
        <w:tc>
          <w:tcPr>
            <w:tcW w:w="4260" w:type="dxa"/>
            <w:vAlign w:val="bottom"/>
            <w:tcBorders>
              <w:left w:val="single" w:sz="8" w:color="E6E6E6"/>
              <w:bottom w:val="single" w:sz="8" w:color="auto"/>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Richard Kassar</w:t>
            </w: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c>
          <w:tcPr>
            <w:tcW w:w="1500" w:type="dxa"/>
            <w:vAlign w:val="bottom"/>
            <w:tcBorders>
              <w:bottom w:val="single" w:sz="8" w:color="auto"/>
              <w:right w:val="single" w:sz="8" w:color="E6E6E6"/>
            </w:tcBorders>
            <w:shd w:val="clear" w:color="auto" w:fill="E6E6E6"/>
          </w:tcPr>
          <w:p>
            <w:pPr>
              <w:spacing w:after="0"/>
              <w:rPr>
                <w:sz w:val="18"/>
                <w:szCs w:val="18"/>
                <w:color w:val="auto"/>
              </w:rPr>
            </w:pPr>
          </w:p>
        </w:tc>
        <w:tc>
          <w:tcPr>
            <w:tcW w:w="1600" w:type="dxa"/>
            <w:vAlign w:val="bottom"/>
            <w:tcBorders>
              <w:bottom w:val="single" w:sz="8" w:color="auto"/>
              <w:right w:val="single" w:sz="8" w:color="E6E6E6"/>
            </w:tcBorders>
            <w:shd w:val="clear" w:color="auto" w:fill="E6E6E6"/>
          </w:tcPr>
          <w:p>
            <w:pPr>
              <w:spacing w:after="0"/>
              <w:rPr>
                <w:sz w:val="18"/>
                <w:szCs w:val="18"/>
                <w:color w:val="auto"/>
              </w:rPr>
            </w:pPr>
          </w:p>
        </w:tc>
        <w:tc>
          <w:tcPr>
            <w:tcW w:w="116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09"/>
        </w:trPr>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due to permanent disability</w:t>
            </w:r>
          </w:p>
        </w:tc>
        <w:tc>
          <w:tcPr>
            <w:tcW w:w="15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9"/>
        </w:trPr>
        <w:tc>
          <w:tcPr>
            <w:tcW w:w="700" w:type="dxa"/>
            <w:vAlign w:val="bottom"/>
            <w:tcBorders>
              <w:right w:val="single" w:sz="8" w:color="auto"/>
            </w:tcBorders>
          </w:tcPr>
          <w:p>
            <w:pPr>
              <w:spacing w:after="0"/>
              <w:rPr>
                <w:sz w:val="21"/>
                <w:szCs w:val="21"/>
                <w:color w:val="auto"/>
              </w:rPr>
            </w:pPr>
          </w:p>
        </w:tc>
        <w:tc>
          <w:tcPr>
            <w:tcW w:w="428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Involuntary termination (13)</w:t>
            </w:r>
          </w:p>
        </w:tc>
        <w:tc>
          <w:tcPr>
            <w:tcW w:w="138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78,152(15)</w:t>
            </w:r>
          </w:p>
        </w:tc>
        <w:tc>
          <w:tcPr>
            <w:tcW w:w="140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78,152</w:t>
            </w:r>
          </w:p>
        </w:tc>
      </w:tr>
      <w:tr>
        <w:trPr>
          <w:trHeight w:val="193"/>
        </w:trPr>
        <w:tc>
          <w:tcPr>
            <w:tcW w:w="700" w:type="dxa"/>
            <w:vAlign w:val="bottom"/>
            <w:tcBorders>
              <w:right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spacing w:after="0" w:line="193" w:lineRule="exact"/>
              <w:rPr>
                <w:sz w:val="20"/>
                <w:szCs w:val="20"/>
                <w:color w:val="auto"/>
              </w:rPr>
            </w:pPr>
            <w:r>
              <w:rPr>
                <w:rFonts w:ascii="Times New Roman" w:cs="Times New Roman" w:eastAsia="Times New Roman" w:hAnsi="Times New Roman"/>
                <w:sz w:val="18"/>
                <w:szCs w:val="18"/>
                <w:color w:val="auto"/>
              </w:rPr>
              <w:t>Change in control</w:t>
            </w:r>
          </w:p>
        </w:tc>
        <w:tc>
          <w:tcPr>
            <w:tcW w:w="1380" w:type="dxa"/>
            <w:vAlign w:val="bottom"/>
            <w:tcBorders>
              <w:bottom w:val="single" w:sz="8" w:color="auto"/>
              <w:right w:val="single" w:sz="8" w:color="auto"/>
            </w:tcBorders>
          </w:tcPr>
          <w:p>
            <w:pPr>
              <w:ind w:left="1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ind w:left="1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78,152(15)</w:t>
            </w:r>
          </w:p>
        </w:tc>
        <w:tc>
          <w:tcPr>
            <w:tcW w:w="140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78,152</w:t>
            </w:r>
          </w:p>
        </w:tc>
      </w:tr>
      <w:tr>
        <w:trPr>
          <w:trHeight w:val="209"/>
        </w:trPr>
        <w:tc>
          <w:tcPr>
            <w:tcW w:w="700" w:type="dxa"/>
            <w:vAlign w:val="bottom"/>
            <w:tcBorders>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Involuntary termination after change in control</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78,152(15)</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78,152</w:t>
            </w:r>
          </w:p>
        </w:tc>
      </w:tr>
      <w:tr>
        <w:trPr>
          <w:trHeight w:val="209"/>
        </w:trPr>
        <w:tc>
          <w:tcPr>
            <w:tcW w:w="700" w:type="dxa"/>
            <w:vAlign w:val="bottom"/>
            <w:tcBorders>
              <w:right w:val="single" w:sz="8" w:color="auto"/>
            </w:tcBorders>
          </w:tcPr>
          <w:p>
            <w:pPr>
              <w:spacing w:after="0"/>
              <w:rPr>
                <w:sz w:val="18"/>
                <w:szCs w:val="18"/>
                <w:color w:val="auto"/>
              </w:rPr>
            </w:pPr>
          </w:p>
        </w:tc>
        <w:tc>
          <w:tcPr>
            <w:tcW w:w="4280" w:type="dxa"/>
            <w:vAlign w:val="bottom"/>
            <w:tcBorders>
              <w:bottom w:val="single" w:sz="8" w:color="auto"/>
              <w:right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Thembeka Machaba</w:t>
            </w:r>
          </w:p>
        </w:tc>
        <w:tc>
          <w:tcPr>
            <w:tcW w:w="1380" w:type="dxa"/>
            <w:vAlign w:val="bottom"/>
            <w:tcBorders>
              <w:bottom w:val="single" w:sz="8" w:color="auto"/>
              <w:right w:val="single" w:sz="8" w:color="E6E6E6"/>
            </w:tcBorders>
            <w:shd w:val="clear" w:color="auto" w:fill="E6E6E6"/>
          </w:tcPr>
          <w:p>
            <w:pPr>
              <w:spacing w:after="0"/>
              <w:rPr>
                <w:sz w:val="18"/>
                <w:szCs w:val="18"/>
                <w:color w:val="auto"/>
              </w:rPr>
            </w:pPr>
          </w:p>
        </w:tc>
        <w:tc>
          <w:tcPr>
            <w:tcW w:w="1380" w:type="dxa"/>
            <w:vAlign w:val="bottom"/>
            <w:tcBorders>
              <w:bottom w:val="single" w:sz="8" w:color="auto"/>
              <w:right w:val="single" w:sz="8" w:color="E6E6E6"/>
            </w:tcBorders>
            <w:shd w:val="clear" w:color="auto" w:fill="E6E6E6"/>
          </w:tcPr>
          <w:p>
            <w:pPr>
              <w:spacing w:after="0"/>
              <w:rPr>
                <w:sz w:val="18"/>
                <w:szCs w:val="18"/>
                <w:color w:val="auto"/>
              </w:rPr>
            </w:pPr>
          </w:p>
        </w:tc>
        <w:tc>
          <w:tcPr>
            <w:tcW w:w="1620" w:type="dxa"/>
            <w:vAlign w:val="bottom"/>
            <w:tcBorders>
              <w:bottom w:val="single" w:sz="8" w:color="auto"/>
              <w:right w:val="single" w:sz="8" w:color="E6E6E6"/>
            </w:tcBorders>
            <w:shd w:val="clear" w:color="auto" w:fill="E6E6E6"/>
          </w:tcPr>
          <w:p>
            <w:pPr>
              <w:spacing w:after="0"/>
              <w:rPr>
                <w:sz w:val="18"/>
                <w:szCs w:val="18"/>
                <w:color w:val="auto"/>
              </w:rPr>
            </w:pPr>
          </w:p>
        </w:tc>
        <w:tc>
          <w:tcPr>
            <w:tcW w:w="14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Termination due to permanent disability</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0" w:type="dxa"/>
            <w:vAlign w:val="bottom"/>
            <w:tcBorders>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Involuntary termination (13)</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0" w:type="dxa"/>
            <w:vAlign w:val="bottom"/>
            <w:tcBorders>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0" w:type="dxa"/>
            <w:vAlign w:val="bottom"/>
            <w:tcBorders>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Involuntary termination after change in control</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8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r>
    </w:tbl>
    <w:p>
      <w:pPr>
        <w:spacing w:after="0" w:line="25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cost of COBRA premiums for 18 months following termination.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1.5 times the sum of Mr. Cyr’s base salary and target bonus for a period of 18 months.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cost of COBRA premiums for one year following termination.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(i) one year of base salary and (ii) pro-rated bonus based on actual performance for the 2022 performance year.</w:t>
      </w:r>
    </w:p>
    <w:p>
      <w:pPr>
        <w:spacing w:after="0" w:line="22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Cyr held unvested performance-vesting options to purchase 205,079 shares of stock with an exercise price of $142.79 which would have accelerated on a pro-rata basis upon a termination by the Company other than for cause.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Cyr held unvested (i) performance-vesting options to purchase 205,079 shares of stock with an exercise price of</w:t>
      </w:r>
    </w:p>
    <w:p>
      <w:pPr>
        <w:spacing w:after="0" w:line="27" w:lineRule="exact"/>
        <w:rPr>
          <w:rFonts w:ascii="Times New Roman" w:cs="Times New Roman" w:eastAsia="Times New Roman" w:hAnsi="Times New Roman"/>
          <w:sz w:val="18"/>
          <w:szCs w:val="18"/>
          <w:color w:val="auto"/>
        </w:rPr>
      </w:pPr>
    </w:p>
    <w:p>
      <w:pPr>
        <w:ind w:left="340"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$142.79 which would have accelerated upon an Involuntary Termination within two years after a change in control of the Company, based on actual Company performance through the change in control and (ii) unvested time-vesting options to purchase 41,016 shares of stock with an exercise price of $142.79 which would have accelerated on a pro-rata basis upon an Involuntary Termination within two years after a change in control of the Company.</w:t>
      </w:r>
    </w:p>
    <w:p>
      <w:pPr>
        <w:spacing w:after="0" w:line="188"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Morris held unvested performance-vesting options to purchase 153,809 shares of stock with an exercise price of $142.79 which would have accelerated on a pro-rata basis upon a termination by the Company other than for cause.</w:t>
      </w:r>
    </w:p>
    <w:p>
      <w:pPr>
        <w:spacing w:after="0" w:line="161"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Morris also held unvested (i) performance-vesting options to purchase 153,809 shares of stock with an exercise price of $142.79 which would have accelerated upon an Involuntary Termination within two years after a change in control of the Company, based on actual Company performance through the change in control and (ii) unvested time-vesting options to purchase 30,762 shares of stock with an exercise price of $142.79 which would have accelerated on a pro-rata basis upon an Involuntary Termination within a two years after a change in control of the Company.</w:t>
      </w:r>
    </w:p>
    <w:p>
      <w:pPr>
        <w:spacing w:after="0" w:line="183"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Ms. Pomerantz held unvested performance-vesting options to purchase 102,539 shares of stock with an exercise price of $142.79 which would have accelerated on a pro-rata basis upon a termination by the Company other than for cause.</w:t>
      </w:r>
    </w:p>
    <w:p>
      <w:pPr>
        <w:spacing w:after="0" w:line="161" w:lineRule="exact"/>
        <w:rPr>
          <w:rFonts w:ascii="Times New Roman" w:cs="Times New Roman" w:eastAsia="Times New Roman" w:hAnsi="Times New Roman"/>
          <w:sz w:val="18"/>
          <w:szCs w:val="18"/>
          <w:color w:val="auto"/>
        </w:rPr>
      </w:pPr>
    </w:p>
    <w:p>
      <w:pPr>
        <w:ind w:left="340" w:right="20" w:hanging="332"/>
        <w:spacing w:after="0" w:line="25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Ms. Pomerantz held 6,646 time-vesting options which would fully accelerate upon an Involuntary Termination within two years following a change in control at prices greater than $52.77 per share. As of December 31, 2022, Ms. Pomerantz also held unvested (i) performance-vesting options to purchase 102,539 shares of stock with an exercise price of $142.79 which would have accelerated upon an Involuntary Termination within a two years after a change in control of the Company, based on actual Company performance through the change in control and (ii) unvested time-vesting options to purchase 20,508 shares of stock with an exercise price of $142.79 which would have accelerated on a pro-rata basis upon an Involuntary Termination within two years after a change in control of the Company.</w:t>
      </w:r>
    </w:p>
    <w:p>
      <w:pPr>
        <w:spacing w:after="0" w:line="187" w:lineRule="exact"/>
        <w:rPr>
          <w:rFonts w:ascii="Times New Roman" w:cs="Times New Roman" w:eastAsia="Times New Roman" w:hAnsi="Times New Roman"/>
          <w:sz w:val="18"/>
          <w:szCs w:val="18"/>
          <w:color w:val="auto"/>
        </w:rPr>
      </w:pPr>
    </w:p>
    <w:p>
      <w:pPr>
        <w:ind w:left="340" w:right="60" w:hanging="332"/>
        <w:spacing w:after="0" w:line="254"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Ms. Pomerantz had terminated employment with the company. In connection with Ms. Pomerantz’s departure from the Company, on October 13, 2022, the Company and Ms. Pomerantz entered into a Separation Agreement and General Release of Claims (the “Separation Agreement”) pursuant to which Ms. Pomerantz is entitled to receive (i) a continuation of her annual base salary until September 30, 2023, (ii) payment for the employer portion of the premiums for her continued health coverage until the earliest of September 30, 2023, the date that she becomes eligible for coverage under a subsequent employer’s plan, or the date that she ceases to be eligible for continued coverage, (iii) a pro-rated annual bonus for fiscal year 2022 (if any), to be paid in 2023, in an amount to be determined based upon the actual level of achievement of any applicable performance goals as identified by the Company, its board of directors or a committee thereof and (iv) a sum of $75,000, payable in three equal monthly installments over a period of three months, beginning in October 2022 and ending in December 2022, for her consultancy services during such time in assisting with the orderly transition of her former duties.</w:t>
      </w:r>
    </w:p>
    <w:p>
      <w:pPr>
        <w:spacing w:after="0" w:line="188"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Cunfer held unvested (i) time-vesting options to purchase 40,120 shares of stock with an exercise price of $67.02 which would have fully accelerated in connection with a change of control occurring on December 31, 2022 if the options had not been assumed, repurchased by the Company, or terminated. Mr. Cunfer also had 11,007 restricted stock units which would have fully accelerated in connection with a change of control occurring on December 31, 2022.</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Termination” means a termination by the Company without cause or by the NEO for good reason.</w:t>
      </w:r>
    </w:p>
    <w:p>
      <w:pPr>
        <w:spacing w:after="0" w:line="225" w:lineRule="exact"/>
        <w:rPr>
          <w:rFonts w:ascii="Times New Roman" w:cs="Times New Roman" w:eastAsia="Times New Roman" w:hAnsi="Times New Roman"/>
          <w:sz w:val="18"/>
          <w:szCs w:val="18"/>
          <w:color w:val="auto"/>
        </w:rPr>
      </w:pPr>
    </w:p>
    <w:p>
      <w:pPr>
        <w:ind w:left="340" w:hanging="332"/>
        <w:spacing w:after="0" w:line="255"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Walsh held unvested (i) time-vesting options to purchase 11,670 shares of stock with an exercise price of $111.65 which would have fully accelerated in connection with a change of control occurring on December 31, 2022 if the options had not been assumed, repurchased by the Company, or terminated and (ii) performance-vesting options to purchase 20,000 shares of stock with an exercise price of $111.65 which would have vested in full upon a change in control of the Company if, in connection with a change of Control of the Company, the options were not assumed, repurchased by the Company, or terminated. Mr. Walsh also held 1,554 shares of restricted stock shown at a value of $52.77 per share which would have vested in full upon a change in control of the Company if, in connection with a change of Control of the Company, the options were not assumed, repurchased by the Company, or terminated.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5" w:right="359" w:bottom="0" w:gutter="0" w:footer="0" w:header="0"/>
        </w:sectPr>
      </w:pPr>
    </w:p>
    <w:bookmarkStart w:id="36" w:name="page37"/>
    <w:bookmarkEnd w:id="36"/>
    <w:p>
      <w:pPr>
        <w:ind w:left="340" w:right="60" w:hanging="332"/>
        <w:spacing w:after="0" w:line="255"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Kassar held unvested (i) performance-vesting options to purchase 3,029 shares of stock with an exercise price greater than $52.77 which would have accelerated upon an Involuntary Termination within two years after a change in control of the Company, based on actual Company performance through the change in control and (ii) unvested time-vesting options to purchase 2,467 shares of stock with an exercise price greater than $52.77 which would have accelerated on a pro-rata basis upon an Involuntary Termination within two years after a change in control of the Company. Mr. Kassar also held 1,481 shares of restricted stock shown at a value of $52.77 per share which would have vested in full upon a change in control of the Company if, in connection with a change of Control of the Company, the options were not assumed, repurchased by the Company, or terminated.</w:t>
      </w:r>
    </w:p>
    <w:p>
      <w:pPr>
        <w:spacing w:after="0" w:line="188"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Ms. Machaba held unvested (i) performance-vesting options to purchase 82,031 shares of stock with an exercise price of $142.79 which would have accelerated upon an Involuntary Termination within two years after a change in control of the Company, based on actual Company performance through the change in control and (ii) unvested time-vesting options to purchase 16,408 shares of stock with an exercise price of $142.79 and 1,667 shares of stock with an exercise price of $96.05 which would have accelerated on a pro-rata basis upon an Involuntary Termination within two years after a change in control of the Company.</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equity value was attributable to options with an exercise price at or above the December 31, 2022 stock price of $52.77.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determine the ratio of our CEO’s annual total compensation to the median annual total compensation of all our employees excluding the CEO, we identified, as of December 31, 2022, the median employee using annual base salary. We sorted the data set from lowest to highest salary using salary amounts calculated as of December 31, 2022, noting that all salaries were annualized for employees who were new hires or worked a partial year and without excluding any employees from the data set. We believe this measure reasonably reflects the typical annual compensation of our employee population and is a consistently applied compensation measure for all employees.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median employee’s 2022 total compensation was $63,045, as calculated pursuant to the Summary Compensation Table Rules. Mr. Cyr’s 2022 total compensation was $891,360 which was approximately 14 times that of the median of the annual total compensation of all our employees (1:14 ratio).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full Board approved director compensation for 2022, based on the recommendation of the Compensation Committee with assistance from KF, and in accordance with the Company’s non-employee director compensation program. For 2022, each non-employee member of the Board who served for the entire year received an annual cash retainer of $60,000, paid quarterly. In 2022, each Board member was also granted an award of restricted shares under our 2014 Plan, which vest on the first anniversary of the grant date, subject to continued service, with an upfront grant date value of $119,960 (or $169,985 for the Chair of the Board). In addition, certain directors who served as Chairs of Board committees received additional cash payments for 2022 as follows: $15,000 for the Chair of the Company’s Audit Committee and $7,500 each for the Chairs of the Compensation Committee and the Nominating, Governance and Sustainability Committee. Certain directors who served on multiple committees also received additional cash payments for 2022 of $5,000.</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compensation paid to each of our non-employee directors who served during 2022. Mr. Cyr, our Chief Executive Officer, also serves as a director of the Company, but did not receive any additional compensation for his service as a director. Please see the “2022 Summary Compensation Table” for the compensation received by Mr. Cyr as Chief Executive Officer of the Company.</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540" w:type="dxa"/>
            <w:vAlign w:val="bottom"/>
            <w:tcBorders>
              <w:top w:val="single" w:sz="8" w:color="auto"/>
              <w:left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 or Paid</w:t>
            </w:r>
          </w:p>
        </w:tc>
        <w:tc>
          <w:tcPr>
            <w:tcW w:w="190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r>
      <w:tr>
        <w:trPr>
          <w:trHeight w:val="216"/>
        </w:trPr>
        <w:tc>
          <w:tcPr>
            <w:tcW w:w="554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190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880" w:type="dxa"/>
            <w:vAlign w:val="bottom"/>
            <w:tcBorders>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5"/>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w:t>
            </w:r>
          </w:p>
        </w:tc>
        <w:tc>
          <w:tcPr>
            <w:tcW w:w="1880" w:type="dxa"/>
            <w:vAlign w:val="bottom"/>
            <w:tcBorders>
              <w:bottom w:val="single" w:sz="8" w:color="auto"/>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3"/>
        </w:trPr>
        <w:tc>
          <w:tcPr>
            <w:tcW w:w="55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Charles A. Norris (2)</w:t>
            </w:r>
          </w:p>
        </w:tc>
        <w:tc>
          <w:tcPr>
            <w:tcW w:w="192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60,000</w:t>
            </w:r>
          </w:p>
        </w:tc>
        <w:tc>
          <w:tcPr>
            <w:tcW w:w="190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169,985</w:t>
            </w:r>
          </w:p>
        </w:tc>
        <w:tc>
          <w:tcPr>
            <w:tcW w:w="188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229,985</w:t>
            </w:r>
          </w:p>
        </w:tc>
      </w:tr>
      <w:tr>
        <w:trPr>
          <w:trHeight w:val="209"/>
        </w:trPr>
        <w:tc>
          <w:tcPr>
            <w:tcW w:w="5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 David Basto</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119,960</w:t>
            </w:r>
          </w:p>
        </w:tc>
        <w:tc>
          <w:tcPr>
            <w:tcW w:w="1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179,960</w:t>
            </w:r>
          </w:p>
        </w:tc>
      </w:tr>
      <w:tr>
        <w:trPr>
          <w:trHeight w:val="210"/>
        </w:trPr>
        <w:tc>
          <w:tcPr>
            <w:tcW w:w="5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Olu Beck (6)</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119,960</w:t>
            </w:r>
          </w:p>
        </w:tc>
        <w:tc>
          <w:tcPr>
            <w:tcW w:w="1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184,960</w:t>
            </w:r>
          </w:p>
        </w:tc>
      </w:tr>
      <w:tr>
        <w:trPr>
          <w:trHeight w:val="209"/>
        </w:trPr>
        <w:tc>
          <w:tcPr>
            <w:tcW w:w="5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Daryl G. Brewster (3)</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67,500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119,960</w:t>
            </w:r>
          </w:p>
        </w:tc>
        <w:tc>
          <w:tcPr>
            <w:tcW w:w="1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187,460</w:t>
            </w:r>
          </w:p>
        </w:tc>
      </w:tr>
      <w:tr>
        <w:trPr>
          <w:trHeight w:val="209"/>
        </w:trPr>
        <w:tc>
          <w:tcPr>
            <w:tcW w:w="5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Lawrence S. Coben</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119,960</w:t>
            </w:r>
          </w:p>
        </w:tc>
        <w:tc>
          <w:tcPr>
            <w:tcW w:w="1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179,960</w:t>
            </w:r>
          </w:p>
        </w:tc>
      </w:tr>
      <w:tr>
        <w:trPr>
          <w:trHeight w:val="210"/>
        </w:trPr>
        <w:tc>
          <w:tcPr>
            <w:tcW w:w="5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Walter N. George III (4)</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67,500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119,960</w:t>
            </w:r>
          </w:p>
        </w:tc>
        <w:tc>
          <w:tcPr>
            <w:tcW w:w="1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187,460</w:t>
            </w:r>
          </w:p>
        </w:tc>
      </w:tr>
      <w:tr>
        <w:trPr>
          <w:trHeight w:val="209"/>
        </w:trPr>
        <w:tc>
          <w:tcPr>
            <w:tcW w:w="5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Jacki S. Kelley</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119,960</w:t>
            </w:r>
          </w:p>
        </w:tc>
        <w:tc>
          <w:tcPr>
            <w:tcW w:w="1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179,960</w:t>
            </w:r>
          </w:p>
        </w:tc>
      </w:tr>
      <w:tr>
        <w:trPr>
          <w:trHeight w:val="210"/>
        </w:trPr>
        <w:tc>
          <w:tcPr>
            <w:tcW w:w="5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Leta D. Priest</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119,960</w:t>
            </w:r>
          </w:p>
        </w:tc>
        <w:tc>
          <w:tcPr>
            <w:tcW w:w="1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179,960</w:t>
            </w:r>
          </w:p>
        </w:tc>
      </w:tr>
      <w:tr>
        <w:trPr>
          <w:trHeight w:val="209"/>
        </w:trPr>
        <w:tc>
          <w:tcPr>
            <w:tcW w:w="5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Craig D. Steeneck (5)</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119,960</w:t>
            </w:r>
          </w:p>
        </w:tc>
        <w:tc>
          <w:tcPr>
            <w:tcW w:w="1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194,960</w:t>
            </w:r>
          </w:p>
        </w:tc>
      </w:tr>
    </w:tbl>
    <w:p>
      <w:pPr>
        <w:spacing w:after="0" w:line="198" w:lineRule="exact"/>
        <w:rPr>
          <w:sz w:val="20"/>
          <w:szCs w:val="20"/>
          <w:color w:val="auto"/>
        </w:rPr>
      </w:pPr>
    </w:p>
    <w:p>
      <w:pPr>
        <w:ind w:left="340" w:right="40" w:hanging="332"/>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shares of restricted Common Stock granted under our 2014 Plan without regard to forfeitures, computed in accordance with FASB ASC Topic 718 and is based on the valuation assumptions described in Note 9 to our consolidated financial statements included in our annual report. This amount does not reflect the actual economic value realized by the director. The stock awards reflected in the table comprise all outstanding equity awards held by our non-employee directors at the end of 2022. As of December 31, 2022, each of the non-employee directors held 1,422 unvested restricted shares, (or, in the case of Mr. Norris, 2,015 shares).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A. Norris serves as Chair of the Board.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Daryl G. Brewster serves as Chair of the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Walter N. George III serves as Chair of the Nominating, Governance and Sustainability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D. Steeneck serves as the Chair of the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Olu Beck served on two committees: the Audit Committee and the Compensation Committee.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 ownership guidelines are in place for our non-employee directors to encourage significant ownership of our common stock by our non-employee directors and to further align the personal interests of our non-employee directors with the interests of our stockholders. Non-employee directors are expected to own common stock valued at an amount at least three times the cash retainer, as calculated for each calendar year on the first trading day of each calendar year.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information about the beneficial ownership of our common stock, as of April 24, 2022, by:</w:t>
      </w:r>
    </w:p>
    <w:p>
      <w:pPr>
        <w:spacing w:after="0" w:line="225" w:lineRule="exact"/>
        <w:rPr>
          <w:sz w:val="20"/>
          <w:szCs w:val="20"/>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5% or more of our outstanding common stock;</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numbers listed below are based on 48,111,646 shares of our common stock outstanding as of April 24, 2022. Unless otherwise indicated, the address of each individual listed in this table is c/o Freshpet, Inc., 400 Plaza Drive, 1st Floor, Secaucus, New Jersey 07094.</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7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(1)</w:t>
            </w:r>
          </w:p>
        </w:tc>
        <w:tc>
          <w:tcPr>
            <w:tcW w:w="1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0"/>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0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 Vanguard Group, Inc. (2)</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4,423,502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JANA Partners LLC (3)</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4,145,087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Wasatch Advisors LP (4)</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3,353,636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 (5)</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2,660,064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Wellington Management Group LLP (6)</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2,443,050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William B. Cyr (7)</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1,104,695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 Norris (8)</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597,869</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J. David Basto</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35,147</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Olu Beck</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6,483</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Daryl G. Brewster</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54,761</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S. Coben</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51,738</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Walter N. George III</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46,176</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Jacki S. Kelley</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8,566</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Craig D. Steeneck</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29,384</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Leta D. Priest</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9,640</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Todd E. Cunfer</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11,007</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Morris (9)</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355,645</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Cathal Walsh</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91,502</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Thembeka Machaba</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14,269</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Richard Kassar</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41,246</w:t>
            </w: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Heather Pomerantz</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6,000</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as a Group (14 persons) (10)</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2,464,128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1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7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660" w:hanging="652"/>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“beneficial owner” of a security is determined in accordance with Rule 13d-3 under the Exchange Act and generally means any person who, directly or indirectly, through any contract, arrangement, understanding, relationship, or otherwise, has or shares:</w:t>
      </w:r>
    </w:p>
    <w:p>
      <w:pPr>
        <w:ind w:left="1500" w:hanging="520"/>
        <w:spacing w:after="0"/>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power, which includes the power to vote, or to direct the voting of, such security; and/or</w:t>
      </w:r>
    </w:p>
    <w:p>
      <w:pPr>
        <w:spacing w:after="0" w:line="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power, which includes the power to dispose, or to direct the disposition of, such security.</w:t>
      </w:r>
    </w:p>
    <w:p>
      <w:pPr>
        <w:spacing w:after="0" w:line="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Unless otherwise indicated, each person named in the table above has sole voting and investment power, or shares voting and investment power with his or her spouse (as applicable), with respect to all shares of stock listed as owned by that person. Shares issuable upon the exercise of options exercisable on April 24, 2023 or within 60 days thereafter are considered outstanding and to be beneficially owned by the person holding such options for the purpose of computing such person’s beneficial ownership percentage but are not deemed outstanding for the purposes of computing the beneficial ownership percentage of any other person.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jc w:val="both"/>
        <w:ind w:left="660" w:hanging="652"/>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beneficially owned as of December 30, 2022, based on a Schedule 13G filed on February 9, 2023, by The Vanguard Group, Inc., pursuant to which The Vanguard Group, Inc. reports sole voting power over zero shares, shared voting power over 19,446 shares, sole dispositive power over 4,357,754 shares and shared dispositive power over 65,748 shares. In such filing The Vanguard Group, Inc., lists its address as 100 Vanguard Blvd., Malvern, PA 19355.</w:t>
      </w:r>
    </w:p>
    <w:p>
      <w:pPr>
        <w:spacing w:after="0" w:line="2"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beneficially owned as of December 13, 2022, based on Amendment No. 2 to a Schedule 13D filed on December 13, 2022, by JANA Partners LLC. In such filing, JANA Partners LLC lists its address as 767 Fifth Avenue, 8</w:t>
      </w:r>
    </w:p>
    <w:p>
      <w:pPr>
        <w:ind w:left="66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beneficially owned as of December 31, 2022, based on Amendment No. 2 to a Schedule 13D filed on February 8, 2023, by Wasatch Advisors LP. In such filing, Wasatch Advisors LP lists its address as 505 Wakara Way, Salt Lake City, UT 84108.</w:t>
      </w:r>
    </w:p>
    <w:p>
      <w:pPr>
        <w:ind w:left="660" w:right="2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beneficially owned as of December 30, 2022, based on a Schedule 13G filed on February 9, 2023, by FMR LLC. In such filing, FMR LLC lists its address as 245 Summer Street, Boston, Massachusetts 02210.</w:t>
      </w:r>
    </w:p>
    <w:p>
      <w:pPr>
        <w:jc w:val="both"/>
        <w:ind w:left="66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beneficially owned as of December 30, 2022, based on a Schedule 13G filed on February 6, 2023, by Wellington Management Group LLP, Wellington Group Holdings LLP and Wellington Investment Advisors Holdings LLP (together, “Wellington”), pursuant to which Wellington reports shared voting power over 2,139,722 shares and shared dispositive power over 2,443,050 shares. In such filing, Wellington lists its address as 280 Congress Street, Boston, MA 02210.</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77,351 shares of common stock and 1,027,344 options to purchase common stock held by Mr. Cyr directly, 55,000 options to purchase shares of common stock held by his spouse, 107,500 options to purchase shares of common stock held by Irrevocable Spousal Trust for Linda W. Cyr, and 95,000 options to purchase shares of common stock held by Linda W. Cyr 2020 Irrevocable Trust for Descendant.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32,188 shares of common stock held by Mr. Norris directly, 503,568 shares of common stock held by Norris Trust Ltd 6/18/02, 30,000 shares of common stock held by the Charles Norris 2020 Annuity Trust and 30,000 shares held by the Margaret Norris 2020 Annuity Trust.</w:t>
      </w: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Mr. Morris has indicated that 95,530 shares of common stock are pledged as collateral in a brokerage account.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Ms. Pomerantz and Mr. Kassar, as they are no longer executive officers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administers three current equity compensation plans: our 2014 Plan, a 2016 inducement grant of stock options to Mr. Cyr, and a 2022 inducement grant of stock options and restricted stock units to Mr. Cunfer. The following table provides information as of December 31, 2022 regarding shares of our common stock that may be issued under the plans.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6100" w:type="dxa"/>
            <w:vAlign w:val="bottom"/>
            <w:tcBorders>
              <w:top w:val="single" w:sz="8" w:color="auto"/>
              <w:left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Future Issuance</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(Excluding</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Reflected in</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Column (a))</w:t>
            </w:r>
          </w:p>
        </w:tc>
      </w:tr>
      <w:tr>
        <w:trPr>
          <w:trHeight w:val="216"/>
        </w:trPr>
        <w:tc>
          <w:tcPr>
            <w:tcW w:w="61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6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5"/>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9"/>
              </w:rPr>
              <w:t>(c)</w:t>
            </w:r>
          </w:p>
        </w:tc>
      </w:tr>
      <w:tr>
        <w:trPr>
          <w:trHeight w:val="193"/>
        </w:trPr>
        <w:tc>
          <w:tcPr>
            <w:tcW w:w="61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20" w:type="dxa"/>
            <w:vAlign w:val="bottom"/>
            <w:tcBorders>
              <w:bottom w:val="single" w:sz="8" w:color="auto"/>
              <w:right w:val="single" w:sz="8" w:color="auto"/>
            </w:tcBorders>
          </w:tcPr>
          <w:p>
            <w:pPr>
              <w:ind w:left="860"/>
              <w:spacing w:after="0" w:line="193" w:lineRule="exact"/>
              <w:rPr>
                <w:sz w:val="20"/>
                <w:szCs w:val="20"/>
                <w:color w:val="auto"/>
              </w:rPr>
            </w:pPr>
            <w:r>
              <w:rPr>
                <w:rFonts w:ascii="Times New Roman" w:cs="Times New Roman" w:eastAsia="Times New Roman" w:hAnsi="Times New Roman"/>
                <w:sz w:val="18"/>
                <w:szCs w:val="18"/>
                <w:color w:val="auto"/>
                <w:w w:val="98"/>
              </w:rPr>
              <w:t>2,593,468(2)</w:t>
            </w:r>
          </w:p>
        </w:tc>
        <w:tc>
          <w:tcPr>
            <w:tcW w:w="166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383,883</w:t>
            </w:r>
          </w:p>
        </w:tc>
      </w:tr>
      <w:tr>
        <w:trPr>
          <w:trHeight w:val="210"/>
        </w:trPr>
        <w:tc>
          <w:tcPr>
            <w:tcW w:w="6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8"/>
              </w:rPr>
              <w:t>1,077,501(3)</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14.23</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3,670,969</w:t>
            </w:r>
          </w:p>
        </w:tc>
        <w:tc>
          <w:tcPr>
            <w:tcW w:w="16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383,883</w:t>
            </w: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reflected in column (a) are not reflected in these weighted-average exercise prices.</w:t>
      </w:r>
    </w:p>
    <w:p>
      <w:pPr>
        <w:spacing w:after="0" w:line="225"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2,317,468 options outstanding under our 2014 Plan with a weighted average exercise price of $90.30; and 276,000 RSUs outstanding under our 2014 Plan;</w:t>
      </w:r>
    </w:p>
    <w:p>
      <w:pPr>
        <w:spacing w:after="0" w:line="161"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September 2016 inducement grant to our CEO, Mr. Cyr, a December 1, 2022 inducement grant to our CFO, Mr. Cunfer, which grants are described below, and a January 2020 inducement grant to our former CFO, Ms. Pomerantz.</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Omnibus Plan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2014 Plan was adopted by the Board in connection with our initial public offering and approved by our stockholders in October 2014. Our 2014 Plan allows for awards of tax-qualified incentive stock options, nonstatutory stock options, stock appreciation rights, restricted stock, other stock-based awards, and other cash-based awards to our directors, officers, employees, consultants, and advisors. Upon the adoption of our 2014 Plan, we discontinued our 2010 Plan, as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Grant to Mr. Cyr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September 2016, we granted our CEO, Mr. Cyr, an inducement grant of stock options in accordance with the Nasdaq Marketplace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Cyr’s inducement grant consisted of 500,000 performance-vesting options and 500,000 time-vesting options, which have all vested.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Grant to Mr. Cunfer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2022, we granted our CFO, Mr. Cunfer, an inducement grant of stock options in accordance with the Nasdaq Marketplace Rules.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Cunfer’s inducement grant consisted of 40,120 time-vesting options and 22,381 restricted stock units.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Stock Option Plan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2010 Plan was adopted by the Board and approved by our stockholders in December 2010. Our 2010 Plan allowed for the grant of tax-qualified incentive stock options and nonstatutory stock options to our employees, officers, directors, consultants, and advisors. We discontinued our 2010 Plan in March 2014 and no new awards have been granted under the plan since that time. Any award outstanding under our 2010 Plan at the time of its discontinuance will remain in effect until the award is exercised or has expired in accordance with its terms.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center"/>
        <w:ind w:right="2320"/>
        <w:spacing w:after="0" w:line="502"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 CERTAIN RELATIONSHIPS AND RELATED PARTY TRANSACTIONS Procedures for Approval of Related Party Transactions</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no related person transactions that require reporting under SEC rules. Our Board of Directors has adopted a written related party transaction policy, which sets forth the policies and procedures for the review and approval or ratification of related party transactions. This policy is administrated by our Audit Committee. These policies provide that, in determining whether or not to recommend the initial approval or ratification of a related party transaction, the relevant facts and circumstances available shall be considered, including, among other factors it deems appropriate, whether the interested transaction is on terms no less favorable than terms generally available to an unaffiliated third party under the same or similar circumstances and the extent of the related party’s interest in the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10. Directors, Executive Officers and Corporate Governance—Corporate Governance and Board Structure” and “Item 10. Directors, Executive Officers and Corporate Governance—Board Committees.”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Fees for Services Rendered by Independent Registered Public Accounting Firm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Short Hills, New Jersey, Auditor ID: 185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our current independent registered public accounting firm, KPMG, for the fiscal years ended December 31,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1,759,000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1,085,000</w:t>
            </w:r>
          </w:p>
        </w:tc>
      </w:tr>
      <w:tr>
        <w:trPr>
          <w:trHeight w:val="216"/>
        </w:trPr>
        <w:tc>
          <w:tcPr>
            <w:tcW w:w="5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 (2)</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1,760,900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1,086,900</w:t>
            </w:r>
          </w:p>
        </w:tc>
      </w:tr>
      <w:tr>
        <w:trPr>
          <w:trHeight w:val="270"/>
        </w:trPr>
        <w:tc>
          <w:tcPr>
            <w:tcW w:w="5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52"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related to the audit of the Company’s annual financial statements and review of the Company’s quarterly financial statements as well as services that are normally provided by independent registered public accounting firms in connection with statutory and regulatory filings or engagements.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Includes fees related to KPMG’s Accounting Research Online (“ARO”) Subscription.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Non-Audit Services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Performed by the Independent Registered Public Accounting Firm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permissible non-audit services provided by the independent auditor and to not engage the independent auditor to perform the non-audit services proscribed by law or regulation. The Audit Committee may adopt pre-approval policies and procedures detailed as to particular services and delegate pre-approval authority to a member of the Audit Committee. The decisions of any Audit Committee member to whom pre-approval authority is delegated must be presented to the full Audit Committee at its next scheduled meeting.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services provided by KPMG for 2022 and 2021 were pre-approved by the Audit Committee.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ind w:left="5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225"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Statements—All financial statements are omitted for the reason that they are not required or the information is otherwise supplied in Item 8. “Financial Statements and Supplementary Data” in the 2022 10-K filed on February 28, 2023.</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Exhibits—The exhibits listed on the accompanying Exhibit Index are filed or incorporated by reference as part of this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20" w:type="dxa"/>
            <w:vAlign w:val="bottom"/>
            <w:gridSpan w:val="21"/>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0" w:type="dxa"/>
            <w:vAlign w:val="bottom"/>
          </w:tcPr>
          <w:p>
            <w:pPr>
              <w:spacing w:after="0"/>
              <w:rPr>
                <w:sz w:val="24"/>
                <w:szCs w:val="24"/>
                <w:color w:val="auto"/>
              </w:rPr>
            </w:pPr>
          </w:p>
        </w:tc>
        <w:tc>
          <w:tcPr>
            <w:tcW w:w="972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14"/>
                <w:szCs w:val="14"/>
                <w:color w:val="auto"/>
              </w:rPr>
            </w:pPr>
          </w:p>
        </w:tc>
        <w:tc>
          <w:tcPr>
            <w:tcW w:w="9720" w:type="dxa"/>
            <w:vAlign w:val="bottom"/>
            <w:gridSpan w:val="24"/>
          </w:tcPr>
          <w:p>
            <w:pPr>
              <w:spacing w:after="0" w:line="169"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Sixth Amended and Restated Certificate of Incorporation of Freshpet, Inc. (incorporated by reference to Exhibit 3.1 to the Company's</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Current Report on Form 8-K, filed with the SEC on October 4, 2022)</w:t>
              </w:r>
            </w:hyperlink>
          </w:p>
        </w:tc>
        <w:tc>
          <w:tcPr>
            <w:tcW w:w="10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6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Amended and Restated Bylaws of Freshpet, Inc. (incorporated by reference to Exhibit 3.2 to the Company's Current Report on Form</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8-K, filed with the SEC on October 4, 2022)</w:t>
              </w:r>
            </w:hyperlink>
          </w:p>
        </w:tc>
        <w:tc>
          <w:tcPr>
            <w:tcW w:w="6340" w:type="dxa"/>
            <w:vAlign w:val="bottom"/>
            <w:tcBorders>
              <w:top w:val="single" w:sz="8" w:color="0000EE"/>
            </w:tcBorders>
            <w:gridSpan w:val="18"/>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Description of Securities Registered Pursuant to Section 12 of the Securities Exchange Act of 1934 (previously filed)</w:t>
              </w:r>
            </w:hyperlink>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95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Sixth Amended and Restated Loan and Security Agreement Amendment, dated February 19, 2021, by and among the Company and</w:t>
              </w:r>
            </w:hyperlink>
          </w:p>
        </w:tc>
        <w:tc>
          <w:tcPr>
            <w:tcW w:w="200" w:type="dxa"/>
            <w:vAlign w:val="bottom"/>
            <w:gridSpan w:val="4"/>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gridSpan w:val="2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City National Bank, a national banking association, as the arranger and administrative agent, and the lenders thereto (incorporated by</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reference to the Company's Current Report on Form 8-K filed with the SEC on February 19, 2021)</w:t>
              </w:r>
            </w:hyperlink>
          </w:p>
        </w:tc>
        <w:tc>
          <w:tcPr>
            <w:tcW w:w="2460" w:type="dxa"/>
            <w:vAlign w:val="bottom"/>
            <w:tcBorders>
              <w:top w:val="single" w:sz="8" w:color="0000EE"/>
            </w:tcBorders>
            <w:gridSpan w:val="12"/>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6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Freshpet, Inc. Second Amended and Restated 2014 Omnibus Incentive Plan (incorporated by reference to Exhibit 99.1 to the</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Company's Registration Statement on Form S-8, filed with the SEC on October 7, 2020)</w:t>
              </w:r>
            </w:hyperlink>
          </w:p>
        </w:tc>
        <w:tc>
          <w:tcPr>
            <w:tcW w:w="740" w:type="dxa"/>
            <w:vAlign w:val="bottom"/>
            <w:gridSpan w:val="10"/>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60" w:type="dxa"/>
            <w:vAlign w:val="bottom"/>
          </w:tcPr>
          <w:p>
            <w:pPr>
              <w:spacing w:after="0"/>
              <w:rPr>
                <w:sz w:val="24"/>
                <w:szCs w:val="24"/>
                <w:color w:val="auto"/>
              </w:rPr>
            </w:pPr>
          </w:p>
        </w:tc>
        <w:tc>
          <w:tcPr>
            <w:tcW w:w="93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First Amendment to Freshpet, Inc. Second Amended and Restated 2014 Omnibus Incentive Plan (incorporated by reference to the</w:t>
              </w:r>
            </w:hyperlink>
          </w:p>
        </w:tc>
        <w:tc>
          <w:tcPr>
            <w:tcW w:w="360" w:type="dxa"/>
            <w:vAlign w:val="bottom"/>
            <w:gridSpan w:val="6"/>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Company's Annual Report on Form 10-K filed on February 22, 2021)</w:t>
              </w:r>
            </w:hyperlink>
          </w:p>
        </w:tc>
        <w:tc>
          <w:tcPr>
            <w:tcW w:w="4700" w:type="dxa"/>
            <w:vAlign w:val="bottom"/>
            <w:gridSpan w:val="19"/>
          </w:tcPr>
          <w:p>
            <w:pPr>
              <w:spacing w:after="0"/>
              <w:rPr>
                <w:sz w:val="17"/>
                <w:szCs w:val="17"/>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c>
          <w:tcPr>
            <w:tcW w:w="97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Professor Connor’s, Inc. 2010 Stock Option Plan (incorporated by reference to the Company’s Registration on Form S-8 filed on</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December 12, 2014)</w:t>
              </w:r>
            </w:hyperlink>
          </w:p>
        </w:tc>
        <w:tc>
          <w:tcPr>
            <w:tcW w:w="8240" w:type="dxa"/>
            <w:vAlign w:val="bottom"/>
            <w:gridSpan w:val="22"/>
          </w:tcPr>
          <w:p>
            <w:pPr>
              <w:spacing w:after="0"/>
              <w:rPr>
                <w:sz w:val="17"/>
                <w:szCs w:val="17"/>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24"/>
                <w:szCs w:val="24"/>
                <w:color w:val="auto"/>
              </w:rPr>
            </w:pPr>
          </w:p>
        </w:tc>
        <w:tc>
          <w:tcPr>
            <w:tcW w:w="97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Professor Connor’s, Inc. 2006 Stock Plan (incorporated by reference to the Company’s Registration on Form S-8 filed on December</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6">
              <w:r>
                <w:rPr>
                  <w:rFonts w:ascii="Times New Roman" w:cs="Times New Roman" w:eastAsia="Times New Roman" w:hAnsi="Times New Roman"/>
                  <w:sz w:val="18"/>
                  <w:szCs w:val="18"/>
                  <w:color w:val="0000EE"/>
                  <w:w w:val="95"/>
                </w:rPr>
                <w:t>12, 2014)</w:t>
              </w:r>
            </w:hyperlink>
          </w:p>
        </w:tc>
        <w:tc>
          <w:tcPr>
            <w:tcW w:w="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4"/>
                <w:szCs w:val="24"/>
                <w:color w:val="auto"/>
              </w:rPr>
            </w:pPr>
          </w:p>
        </w:tc>
        <w:tc>
          <w:tcPr>
            <w:tcW w:w="9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Form of Restricted Stock Agreement Pursuant to the Freshpet, Inc. 2014 Omnibus Incentive Plan (incorporated by reference to</w:t>
              </w:r>
            </w:hyperlink>
          </w:p>
        </w:tc>
        <w:tc>
          <w:tcPr>
            <w:tcW w:w="580" w:type="dxa"/>
            <w:vAlign w:val="bottom"/>
            <w:gridSpan w:val="9"/>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gridSpan w:val="24"/>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Amendment No. 2 to the Company’s Registration Statement on Form S-1 filed on October 27, 2014)</w:t>
              </w:r>
            </w:hyperlink>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Restricted Stock Unit Agreement Pursuant to the Freshpet, Inc. 2014 Omnibus Incentive Plan (incorporated by reference to</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Amendment No. 2 to the Company’s Registration Statement on Form S-1 filed on October 27, 2014)</w:t>
              </w:r>
            </w:hyperlink>
          </w:p>
        </w:tc>
        <w:tc>
          <w:tcPr>
            <w:tcW w:w="220" w:type="dxa"/>
            <w:vAlign w:val="bottom"/>
            <w:gridSpan w:val="5"/>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Incentive Stock Option Agreement Pursuant to the Freshpet, Inc. 2014 Omnibus Incentive Plan (incorporated by reference to</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Amendment No. 2 to the Company’s Registration Statement on Form S-1 filed on October 27, 2014)</w:t>
              </w:r>
            </w:hyperlink>
          </w:p>
        </w:tc>
        <w:tc>
          <w:tcPr>
            <w:tcW w:w="10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4"/>
                <w:szCs w:val="24"/>
                <w:color w:val="auto"/>
              </w:rPr>
            </w:pPr>
          </w:p>
        </w:tc>
        <w:tc>
          <w:tcPr>
            <w:tcW w:w="97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Form of Nonqualified Stock Option Agreement Pursuant to the Freshpet, Inc. 2014 Omnibus Incentive Plan (incorporated by reference</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gridSpan w:val="24"/>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to Amendment No. 2 to the Company’s Registration Statement on Form S-1 filed on October 27, 2014)</w:t>
              </w:r>
            </w:hyperlink>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24"/>
                <w:szCs w:val="24"/>
                <w:color w:val="auto"/>
              </w:rPr>
            </w:pPr>
          </w:p>
        </w:tc>
        <w:tc>
          <w:tcPr>
            <w:tcW w:w="97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Stock Appreciation Rights Agreement Pursuant to the Freshpet, Inc. 2014 Omnibus Incentive Plan (incorporated by reference</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gridSpan w:val="2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to Amendment No. 2 to the Company’s Registration Statement on Form S-1 filed on October 27, 2014)</w:t>
              </w:r>
            </w:hyperlink>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60" w:type="dxa"/>
            <w:vAlign w:val="bottom"/>
          </w:tcPr>
          <w:p>
            <w:pPr>
              <w:spacing w:after="0"/>
              <w:rPr>
                <w:sz w:val="24"/>
                <w:szCs w:val="24"/>
                <w:color w:val="auto"/>
              </w:rPr>
            </w:pPr>
          </w:p>
        </w:tc>
        <w:tc>
          <w:tcPr>
            <w:tcW w:w="61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Summary of Non-Employee Director Compensation Arrangements (previously filed)</w:t>
              </w:r>
            </w:hyperlink>
          </w:p>
        </w:tc>
        <w:tc>
          <w:tcPr>
            <w:tcW w:w="1300" w:type="dxa"/>
            <w:vAlign w:val="bottom"/>
            <w:tcBorders>
              <w:top w:val="single" w:sz="8" w:color="0000EE"/>
            </w:tcBorders>
            <w:gridSpan w:val="5"/>
          </w:tcPr>
          <w:p>
            <w:pPr>
              <w:spacing w:after="0"/>
              <w:rPr>
                <w:sz w:val="24"/>
                <w:szCs w:val="24"/>
                <w:color w:val="auto"/>
              </w:rPr>
            </w:pPr>
          </w:p>
        </w:tc>
        <w:tc>
          <w:tcPr>
            <w:tcW w:w="2280" w:type="dxa"/>
            <w:vAlign w:val="bottom"/>
            <w:gridSpan w:val="12"/>
          </w:tcPr>
          <w:p>
            <w:pPr>
              <w:spacing w:after="0"/>
              <w:rPr>
                <w:sz w:val="24"/>
                <w:szCs w:val="24"/>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Employment Agreement, dated as of July 27, 2016, by and between Freshpet, Inc. and William B. Cyr (incorporated by reference to</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Exhibit 10.1 to the Company’s Quarterly Report on Form 10-Q filed with the SEC on August 8, 2016)</w:t>
              </w:r>
            </w:hyperlink>
          </w:p>
        </w:tc>
        <w:tc>
          <w:tcPr>
            <w:tcW w:w="2060" w:type="dxa"/>
            <w:vAlign w:val="bottom"/>
            <w:tcBorders>
              <w:top w:val="single" w:sz="8" w:color="0000EE"/>
            </w:tcBorders>
            <w:gridSpan w:val="7"/>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24"/>
                <w:szCs w:val="24"/>
                <w:color w:val="auto"/>
              </w:rPr>
            </w:pPr>
          </w:p>
        </w:tc>
        <w:tc>
          <w:tcPr>
            <w:tcW w:w="93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Employment Agreement between Scott Morris and Freshpet, Inc. (incorporated by reference to Amendment No. 3 to the</w:t>
              </w:r>
            </w:hyperlink>
          </w:p>
        </w:tc>
        <w:tc>
          <w:tcPr>
            <w:tcW w:w="420" w:type="dxa"/>
            <w:vAlign w:val="bottom"/>
            <w:gridSpan w:val="7"/>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gridSpan w:val="24"/>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Company’s Registration Statement on Form S-1 filed on November 4, 2014)</w:t>
              </w:r>
            </w:hyperlink>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40" w:type="dxa"/>
            <w:vAlign w:val="bottom"/>
            <w:gridSpan w:val="5"/>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41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Offer Letter Agreement, dated as of December 16, 2019, by and between Freshpet, Inc. and Heather Pomerantz(incorporated by</w:t>
              </w:r>
            </w:hyperlink>
          </w:p>
        </w:tc>
      </w:tr>
      <w:tr>
        <w:trPr>
          <w:trHeight w:val="196"/>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reference to the Company's Annual Report on Form 10-K filed on February 22, 2021)</w:t>
              </w:r>
            </w:hyperlink>
          </w:p>
        </w:tc>
        <w:tc>
          <w:tcPr>
            <w:tcW w:w="3020" w:type="dxa"/>
            <w:vAlign w:val="bottom"/>
            <w:tcBorders>
              <w:top w:val="single" w:sz="8" w:color="0000EE"/>
            </w:tcBorders>
            <w:gridSpan w:val="8"/>
          </w:tcPr>
          <w:p>
            <w:pPr>
              <w:spacing w:after="0"/>
              <w:rPr>
                <w:sz w:val="17"/>
                <w:szCs w:val="17"/>
                <w:color w:val="auto"/>
              </w:rPr>
            </w:pPr>
          </w:p>
        </w:tc>
        <w:tc>
          <w:tcPr>
            <w:tcW w:w="520" w:type="dxa"/>
            <w:vAlign w:val="bottom"/>
            <w:gridSpan w:val="8"/>
          </w:tcPr>
          <w:p>
            <w:pPr>
              <w:spacing w:after="0"/>
              <w:rPr>
                <w:sz w:val="17"/>
                <w:szCs w:val="17"/>
                <w:color w:val="auto"/>
              </w:rPr>
            </w:pPr>
          </w:p>
        </w:tc>
      </w:tr>
      <w:tr>
        <w:trPr>
          <w:trHeight w:val="491"/>
        </w:trPr>
        <w:tc>
          <w:tcPr>
            <w:tcW w:w="1460" w:type="dxa"/>
            <w:vAlign w:val="bottom"/>
          </w:tcPr>
          <w:p>
            <w:pPr>
              <w:spacing w:after="0"/>
              <w:rPr>
                <w:sz w:val="24"/>
                <w:szCs w:val="24"/>
                <w:color w:val="auto"/>
              </w:rPr>
            </w:pPr>
          </w:p>
        </w:tc>
        <w:tc>
          <w:tcPr>
            <w:tcW w:w="5040" w:type="dxa"/>
            <w:vAlign w:val="bottom"/>
            <w:gridSpan w:val="5"/>
          </w:tcPr>
          <w:p>
            <w:pPr>
              <w:jc w:val="right"/>
              <w:ind w:right="670"/>
              <w:spacing w:after="0"/>
              <w:rPr>
                <w:sz w:val="20"/>
                <w:szCs w:val="20"/>
                <w:color w:val="auto"/>
              </w:rPr>
            </w:pPr>
            <w:r>
              <w:rPr>
                <w:rFonts w:ascii="Times New Roman" w:cs="Times New Roman" w:eastAsia="Times New Roman" w:hAnsi="Times New Roman"/>
                <w:sz w:val="22"/>
                <w:szCs w:val="22"/>
                <w:color w:val="auto"/>
              </w:rPr>
              <w:t>44</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1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60" w:type="dxa"/>
            <w:vAlign w:val="bottom"/>
          </w:tcPr>
          <w:p>
            <w:pPr>
              <w:spacing w:after="0"/>
              <w:rPr>
                <w:sz w:val="17"/>
                <w:szCs w:val="17"/>
                <w:color w:val="auto"/>
              </w:rPr>
            </w:pPr>
          </w:p>
        </w:tc>
        <w:tc>
          <w:tcPr>
            <w:tcW w:w="9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Separation Agreement and General Release of Claims, dated October 13, 2022, by and among the Company and Heather Pomerantz</w:t>
              </w:r>
            </w:hyperlink>
          </w:p>
        </w:tc>
        <w:tc>
          <w:tcPr>
            <w:tcW w:w="120" w:type="dxa"/>
            <w:vAlign w:val="bottom"/>
            <w:gridSpan w:val="3"/>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(incorporated by reference to Exhibit 10.1 to the Company's Current Report on Form 8-K filed with the SEC on October 19, 2022)</w:t>
              </w:r>
            </w:hyperlink>
          </w:p>
        </w:tc>
        <w:tc>
          <w:tcPr>
            <w:tcW w:w="240" w:type="dxa"/>
            <w:vAlign w:val="bottom"/>
            <w:gridSpan w:val="5"/>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60" w:type="dxa"/>
            <w:vAlign w:val="bottom"/>
          </w:tcPr>
          <w:p>
            <w:pPr>
              <w:spacing w:after="0"/>
              <w:rPr>
                <w:sz w:val="24"/>
                <w:szCs w:val="24"/>
                <w:color w:val="auto"/>
              </w:rPr>
            </w:pPr>
          </w:p>
        </w:tc>
        <w:tc>
          <w:tcPr>
            <w:tcW w:w="9640" w:type="dxa"/>
            <w:vAlign w:val="bottom"/>
            <w:gridSpan w:val="24"/>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First Amendment to Sixth Amended and Restated Loan and Security Agreement, dated April 29, 2022, by and among the Company</w:t>
              </w:r>
            </w:hyperlink>
          </w:p>
        </w:tc>
      </w:tr>
      <w:tr>
        <w:trPr>
          <w:trHeight w:val="20"/>
        </w:trPr>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and City National Bank, as the arranger and administrative agent, and the lenders thereto (incorporated by reference to Exhibit 10.1 to</w:t>
              </w:r>
            </w:hyperlink>
          </w:p>
        </w:tc>
      </w:tr>
      <w:tr>
        <w:trPr>
          <w:trHeight w:val="196"/>
        </w:trPr>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the Company's Current Report on Form 8-K filed with the SEC on May 2, 2022)</w:t>
              </w:r>
            </w:hyperlink>
          </w:p>
        </w:tc>
        <w:tc>
          <w:tcPr>
            <w:tcW w:w="3840" w:type="dxa"/>
            <w:vAlign w:val="bottom"/>
            <w:gridSpan w:val="18"/>
          </w:tcPr>
          <w:p>
            <w:pPr>
              <w:spacing w:after="0"/>
              <w:rPr>
                <w:sz w:val="17"/>
                <w:szCs w:val="17"/>
                <w:color w:val="auto"/>
              </w:rPr>
            </w:pPr>
          </w:p>
        </w:tc>
      </w:tr>
      <w:tr>
        <w:trPr>
          <w:trHeight w:val="412"/>
        </w:trPr>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24"/>
                <w:szCs w:val="24"/>
                <w:color w:val="auto"/>
              </w:rPr>
            </w:pPr>
          </w:p>
        </w:tc>
        <w:tc>
          <w:tcPr>
            <w:tcW w:w="96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Employment Agreement, dated October 27, 2022, by and among the Company and Todd Cunfer (incorporated by reference to Exhibit</w:t>
              </w:r>
            </w:hyperlink>
          </w:p>
        </w:tc>
      </w:tr>
      <w:tr>
        <w:trPr>
          <w:trHeight w:val="196"/>
        </w:trPr>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Company's Current Report on Form 8-K filed with the SEC on November 2, 2022)</w:t>
              </w:r>
            </w:hyperlink>
          </w:p>
        </w:tc>
        <w:tc>
          <w:tcPr>
            <w:tcW w:w="2860" w:type="dxa"/>
            <w:vAlign w:val="bottom"/>
            <w:gridSpan w:val="16"/>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60" w:type="dxa"/>
            <w:vAlign w:val="bottom"/>
          </w:tcPr>
          <w:p>
            <w:pPr>
              <w:spacing w:after="0"/>
              <w:rPr>
                <w:sz w:val="24"/>
                <w:szCs w:val="24"/>
                <w:color w:val="auto"/>
              </w:rPr>
            </w:pPr>
          </w:p>
        </w:tc>
        <w:tc>
          <w:tcPr>
            <w:tcW w:w="9640" w:type="dxa"/>
            <w:vAlign w:val="bottom"/>
            <w:gridSpan w:val="24"/>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Employment Agreement, dated as of July 6, 2015, by and between Freshpet, Inc. and Stephen Weise (incorporated by reference to</w:t>
              </w:r>
            </w:hyperlink>
          </w:p>
        </w:tc>
      </w:tr>
      <w:tr>
        <w:trPr>
          <w:trHeight w:val="196"/>
        </w:trPr>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Exhibit 10.18 to the Company’s 10-K, Amendment No. 1, filed on April 30, 2019)</w:t>
              </w:r>
            </w:hyperlink>
          </w:p>
        </w:tc>
        <w:tc>
          <w:tcPr>
            <w:tcW w:w="3420" w:type="dxa"/>
            <w:vAlign w:val="bottom"/>
            <w:tcBorders>
              <w:top w:val="single" w:sz="8" w:color="0000EE"/>
            </w:tcBorders>
            <w:gridSpan w:val="11"/>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412"/>
        </w:trPr>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10.19+</w:t>
            </w:r>
          </w:p>
        </w:tc>
        <w:tc>
          <w:tcPr>
            <w:tcW w:w="60" w:type="dxa"/>
            <w:vAlign w:val="bottom"/>
          </w:tcPr>
          <w:p>
            <w:pPr>
              <w:spacing w:after="0"/>
              <w:rPr>
                <w:sz w:val="24"/>
                <w:szCs w:val="24"/>
                <w:color w:val="auto"/>
              </w:rPr>
            </w:pPr>
          </w:p>
        </w:tc>
        <w:tc>
          <w:tcPr>
            <w:tcW w:w="9640" w:type="dxa"/>
            <w:vAlign w:val="bottom"/>
            <w:gridSpan w:val="24"/>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Employment Agreement between Cathal Walsh and Freshpet, Inc. (incorporated by reference to Amendment No. 3 to the</w:t>
              </w:r>
            </w:hyperlink>
          </w:p>
        </w:tc>
      </w:tr>
      <w:tr>
        <w:trPr>
          <w:trHeight w:val="196"/>
        </w:trPr>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Company’s Registration Statement on Form S-1 filed on November 4, 2014)</w:t>
              </w:r>
            </w:hyperlink>
          </w:p>
        </w:tc>
        <w:tc>
          <w:tcPr>
            <w:tcW w:w="3820" w:type="dxa"/>
            <w:vAlign w:val="bottom"/>
            <w:tcBorders>
              <w:top w:val="single" w:sz="8" w:color="0000EE"/>
            </w:tcBorders>
            <w:gridSpan w:val="12"/>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412"/>
        </w:trPr>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10.20+</w:t>
            </w:r>
          </w:p>
        </w:tc>
        <w:tc>
          <w:tcPr>
            <w:tcW w:w="60" w:type="dxa"/>
            <w:vAlign w:val="bottom"/>
          </w:tcPr>
          <w:p>
            <w:pPr>
              <w:spacing w:after="0"/>
              <w:rPr>
                <w:sz w:val="24"/>
                <w:szCs w:val="24"/>
                <w:color w:val="auto"/>
              </w:rPr>
            </w:pPr>
          </w:p>
        </w:tc>
        <w:tc>
          <w:tcPr>
            <w:tcW w:w="9640" w:type="dxa"/>
            <w:vAlign w:val="bottom"/>
            <w:gridSpan w:val="24"/>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Nonqualified Stock Option Inducement Award Agreement by and between Freshpet, Inc. and William B. Cyr, dated September 6,</w:t>
              </w:r>
            </w:hyperlink>
          </w:p>
        </w:tc>
      </w:tr>
      <w:tr>
        <w:trPr>
          <w:trHeight w:val="20"/>
        </w:trPr>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2016 (incorporated by reference to Exhibit 99.1 to the Company's Registration Statement on Form S-8, filed with the SEC on October</w:t>
              </w:r>
            </w:hyperlink>
          </w:p>
        </w:tc>
      </w:tr>
      <w:tr>
        <w:trPr>
          <w:trHeight w:val="196"/>
        </w:trPr>
        <w:tc>
          <w:tcPr>
            <w:tcW w:w="1520" w:type="dxa"/>
            <w:vAlign w:val="bottom"/>
          </w:tcPr>
          <w:p>
            <w:pPr>
              <w:spacing w:after="0"/>
              <w:rPr>
                <w:sz w:val="17"/>
                <w:szCs w:val="17"/>
                <w:color w:val="auto"/>
              </w:rPr>
            </w:pPr>
          </w:p>
        </w:tc>
        <w:tc>
          <w:tcPr>
            <w:tcW w:w="660" w:type="dxa"/>
            <w:vAlign w:val="bottom"/>
            <w:gridSpan w:val="2"/>
          </w:tcPr>
          <w:p>
            <w:pPr>
              <w:ind w:left="60"/>
              <w:spacing w:after="0" w:line="196" w:lineRule="exact"/>
              <w:rPr>
                <w:rFonts w:ascii="Times New Roman" w:cs="Times New Roman" w:eastAsia="Times New Roman" w:hAnsi="Times New Roman"/>
                <w:sz w:val="18"/>
                <w:szCs w:val="18"/>
                <w:color w:val="0000EE"/>
                <w:w w:val="93"/>
              </w:rPr>
            </w:pPr>
            <w:hyperlink r:id="rId81">
              <w:r>
                <w:rPr>
                  <w:rFonts w:ascii="Times New Roman" w:cs="Times New Roman" w:eastAsia="Times New Roman" w:hAnsi="Times New Roman"/>
                  <w:sz w:val="18"/>
                  <w:szCs w:val="18"/>
                  <w:color w:val="0000EE"/>
                  <w:w w:val="93"/>
                </w:rPr>
                <w:t>7, 2020)</w:t>
              </w:r>
            </w:hyperlink>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9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Nonqualified Stock Option Inducement Award Agreement by and between Freshpet, Inc. and Heather Pomerantz, dated January 12,</w:t>
              </w:r>
            </w:hyperlink>
          </w:p>
        </w:tc>
        <w:tc>
          <w:tcPr>
            <w:tcW w:w="160" w:type="dxa"/>
            <w:vAlign w:val="bottom"/>
            <w:gridSpan w:val="4"/>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700" w:type="dxa"/>
            <w:vAlign w:val="bottom"/>
            <w:gridSpan w:val="2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2020 (incorporated by reference to Exhibit 99.1 to the Company's Registration Statement on Form S-8, filed with the SEC on October</w:t>
              </w:r>
            </w:hyperlink>
          </w:p>
        </w:tc>
      </w:tr>
      <w:tr>
        <w:trPr>
          <w:trHeight w:val="196"/>
        </w:trPr>
        <w:tc>
          <w:tcPr>
            <w:tcW w:w="15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7, 2020)</w:t>
              </w:r>
            </w:hyperlink>
          </w:p>
        </w:tc>
        <w:tc>
          <w:tcPr>
            <w:tcW w:w="10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10.22+</w:t>
            </w:r>
          </w:p>
        </w:tc>
        <w:tc>
          <w:tcPr>
            <w:tcW w:w="9700" w:type="dxa"/>
            <w:vAlign w:val="bottom"/>
            <w:gridSpan w:val="25"/>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Indemnification Agreement between Freshpet, Inc. and each of its directors and executive officers (incorporated by reference</w:t>
              </w:r>
            </w:hyperlink>
          </w:p>
        </w:tc>
      </w:tr>
      <w:tr>
        <w:trPr>
          <w:trHeight w:val="196"/>
        </w:trPr>
        <w:tc>
          <w:tcPr>
            <w:tcW w:w="152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to Amendment No. 3 to the Company’s Registration Statement on Form S-1 filed on November 4, 2014)</w:t>
              </w:r>
            </w:hyperlink>
          </w:p>
        </w:tc>
        <w:tc>
          <w:tcPr>
            <w:tcW w:w="210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List of Subsidiaries (previously filed)</w:t>
              </w:r>
            </w:hyperlink>
          </w:p>
        </w:tc>
        <w:tc>
          <w:tcPr>
            <w:tcW w:w="7000" w:type="dxa"/>
            <w:vAlign w:val="bottom"/>
            <w:gridSpan w:val="21"/>
          </w:tcPr>
          <w:p>
            <w:pPr>
              <w:spacing w:after="0"/>
              <w:rPr>
                <w:sz w:val="24"/>
                <w:szCs w:val="24"/>
                <w:color w:val="auto"/>
              </w:rPr>
            </w:pPr>
          </w:p>
        </w:tc>
      </w:tr>
      <w:tr>
        <w:trPr>
          <w:trHeight w:val="412"/>
        </w:trPr>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23.1</w:t>
            </w:r>
          </w:p>
        </w:tc>
        <w:tc>
          <w:tcPr>
            <w:tcW w:w="30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Consent of KPMG LLP (previously filed )</w:t>
              </w:r>
            </w:hyperlink>
          </w:p>
        </w:tc>
        <w:tc>
          <w:tcPr>
            <w:tcW w:w="6640" w:type="dxa"/>
            <w:vAlign w:val="bottom"/>
            <w:gridSpan w:val="20"/>
          </w:tcPr>
          <w:p>
            <w:pPr>
              <w:spacing w:after="0"/>
              <w:rPr>
                <w:sz w:val="24"/>
                <w:szCs w:val="24"/>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5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Certification of Chief Executive Officer pursuant to Section 302 of the Sarbanes-Oxley Act of 2002 (previously filed)</w:t>
              </w:r>
            </w:hyperlink>
          </w:p>
        </w:tc>
        <w:tc>
          <w:tcPr>
            <w:tcW w:w="1200" w:type="dxa"/>
            <w:vAlign w:val="bottom"/>
            <w:gridSpan w:val="11"/>
          </w:tcPr>
          <w:p>
            <w:pPr>
              <w:spacing w:after="0"/>
              <w:rPr>
                <w:sz w:val="24"/>
                <w:szCs w:val="24"/>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Certification of Chief Financial Officer pursuant to Section 302 of the Sarbanes-Oxley Act of 2002 ( previously filed)</w:t>
              </w:r>
            </w:hyperlink>
          </w:p>
        </w:tc>
        <w:tc>
          <w:tcPr>
            <w:tcW w:w="1220" w:type="dxa"/>
            <w:vAlign w:val="bottom"/>
            <w:gridSpan w:val="12"/>
          </w:tcPr>
          <w:p>
            <w:pPr>
              <w:spacing w:after="0"/>
              <w:rPr>
                <w:sz w:val="24"/>
                <w:szCs w:val="24"/>
                <w:color w:val="auto"/>
              </w:rPr>
            </w:pPr>
          </w:p>
        </w:tc>
      </w:tr>
      <w:tr>
        <w:trPr>
          <w:trHeight w:val="412"/>
        </w:trPr>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31.3*</w:t>
            </w:r>
          </w:p>
        </w:tc>
        <w:tc>
          <w:tcPr>
            <w:tcW w:w="91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2022, relating to the Registrant's</w:t>
            </w:r>
          </w:p>
        </w:tc>
        <w:tc>
          <w:tcPr>
            <w:tcW w:w="540" w:type="dxa"/>
            <w:vAlign w:val="bottom"/>
            <w:gridSpan w:val="9"/>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69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Amendment No. 1 to the Annual Report on Form 10-K/A for the year ended December 31, 2022</w:t>
            </w:r>
          </w:p>
        </w:tc>
        <w:tc>
          <w:tcPr>
            <w:tcW w:w="2720" w:type="dxa"/>
            <w:vAlign w:val="bottom"/>
            <w:gridSpan w:val="14"/>
          </w:tcPr>
          <w:p>
            <w:pPr>
              <w:spacing w:after="0"/>
              <w:rPr>
                <w:sz w:val="17"/>
                <w:szCs w:val="17"/>
                <w:color w:val="auto"/>
              </w:rPr>
            </w:pPr>
          </w:p>
        </w:tc>
      </w:tr>
      <w:tr>
        <w:trPr>
          <w:trHeight w:val="412"/>
        </w:trPr>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31.4*</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2022, relating to the Registrant's</w:t>
            </w:r>
          </w:p>
        </w:tc>
      </w:tr>
      <w:tr>
        <w:trPr>
          <w:trHeight w:val="196"/>
        </w:trPr>
        <w:tc>
          <w:tcPr>
            <w:tcW w:w="152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No. 1 to the Annual Report on Form 10-K/A for the year ended December 31, 2022</w:t>
            </w:r>
          </w:p>
        </w:tc>
        <w:tc>
          <w:tcPr>
            <w:tcW w:w="2140" w:type="dxa"/>
            <w:vAlign w:val="bottom"/>
            <w:tcBorders>
              <w:top w:val="single" w:sz="8" w:color="0000EE"/>
            </w:tcBorders>
            <w:gridSpan w:val="5"/>
          </w:tcPr>
          <w:p>
            <w:pPr>
              <w:spacing w:after="0"/>
              <w:rPr>
                <w:sz w:val="17"/>
                <w:szCs w:val="17"/>
                <w:color w:val="auto"/>
              </w:rPr>
            </w:pPr>
          </w:p>
        </w:tc>
        <w:tc>
          <w:tcPr>
            <w:tcW w:w="600" w:type="dxa"/>
            <w:vAlign w:val="bottom"/>
            <w:gridSpan w:val="10"/>
          </w:tcPr>
          <w:p>
            <w:pPr>
              <w:spacing w:after="0"/>
              <w:rPr>
                <w:sz w:val="17"/>
                <w:szCs w:val="17"/>
                <w:color w:val="auto"/>
              </w:rPr>
            </w:pPr>
          </w:p>
        </w:tc>
      </w:tr>
      <w:tr>
        <w:trPr>
          <w:trHeight w:val="412"/>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Certifications of Chief Executive Officer and Chief Financial Officer pursuant to Section 906 of the Sarbanes-Oxley Act of</w:t>
              </w:r>
            </w:hyperlink>
          </w:p>
        </w:tc>
      </w:tr>
      <w:tr>
        <w:trPr>
          <w:trHeight w:val="196"/>
        </w:trPr>
        <w:tc>
          <w:tcPr>
            <w:tcW w:w="1520" w:type="dxa"/>
            <w:vAlign w:val="bottom"/>
          </w:tcPr>
          <w:p>
            <w:pPr>
              <w:spacing w:after="0"/>
              <w:rPr>
                <w:sz w:val="17"/>
                <w:szCs w:val="17"/>
                <w:color w:val="auto"/>
              </w:rPr>
            </w:pPr>
          </w:p>
        </w:tc>
        <w:tc>
          <w:tcPr>
            <w:tcW w:w="1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2002 (previously filed)</w:t>
              </w:r>
            </w:hyperlink>
          </w:p>
        </w:tc>
        <w:tc>
          <w:tcPr>
            <w:tcW w:w="8040" w:type="dxa"/>
            <w:vAlign w:val="bottom"/>
            <w:gridSpan w:val="22"/>
          </w:tcPr>
          <w:p>
            <w:pPr>
              <w:spacing w:after="0"/>
              <w:rPr>
                <w:sz w:val="17"/>
                <w:szCs w:val="17"/>
                <w:color w:val="auto"/>
              </w:rPr>
            </w:pPr>
          </w:p>
        </w:tc>
      </w:tr>
      <w:tr>
        <w:trPr>
          <w:trHeight w:val="45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Schema Documents</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EX-104</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Formatted Cover Page (formatted as Inline XBRL and contained in Exhibit 101).</w:t>
            </w:r>
          </w:p>
        </w:tc>
      </w:tr>
    </w:tbl>
    <w:p>
      <w:pPr>
        <w:spacing w:after="0" w:line="198" w:lineRule="exact"/>
        <w:rPr>
          <w:sz w:val="20"/>
          <w:szCs w:val="20"/>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hanging="552"/>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of 1934, the registrant has duly caused this report to be signed on its behalf by the undersigned, thereunto duly authorized on May 1, 2023.</w:t>
      </w:r>
    </w:p>
    <w:p>
      <w:pPr>
        <w:spacing w:after="0" w:line="15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FRESHPET, INC.</w:t>
      </w:r>
    </w:p>
    <w:p>
      <w:pPr>
        <w:spacing w:after="0" w:line="229"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Cunfer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Todd Cunfer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57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Cyr,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Freshpet, Inc. for the year ended December 31, 2022; and</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May 1, 2023</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William B. Cyr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B. Cyr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Cunfer,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Freshpet, Inc. for the year ended December 31, 2022; and</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May 1, 2023</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Todd Cunfer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Todd Cunfer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3"/>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5"/>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lvl w:ilvl="1">
      <w:lvlJc w:val="left"/>
      <w:lvlText w:val="●"/>
      <w:numFmt w:val="bullet"/>
      <w:start w:val="1"/>
    </w:lvl>
  </w:abstractNum>
  <w:abstractNum w:abstractNumId="23">
    <w:nsid w:val="71F32454"/>
    <w:multiLevelType w:val="hybridMultilevel"/>
    <w:lvl w:ilvl="0">
      <w:lvlJc w:val="left"/>
      <w:lvlText w:val="(%1)"/>
      <w:numFmt w:val="decimal"/>
      <w:start w:val="2"/>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89" Type="http://schemas.openxmlformats.org/officeDocument/2006/relationships/image" Target="media/image52.png"/><Relationship Id="rId59" Type="http://schemas.openxmlformats.org/officeDocument/2006/relationships/hyperlink" Target="http://www.sec.gov/Archives/edgar/data/1611647/000092963822001515/exhibit3-1.htm" TargetMode="External"/><Relationship Id="rId60" Type="http://schemas.openxmlformats.org/officeDocument/2006/relationships/hyperlink" Target="http://www.sec.gov/Archives/edgar/data/1611647/000092963822001515/exhibit3-2.htm" TargetMode="External"/><Relationship Id="rId61" Type="http://schemas.openxmlformats.org/officeDocument/2006/relationships/hyperlink" Target="http://www.sec.gov/Archives/edgar/data/1611647/000143774923004928/ex_480462.htm" TargetMode="External"/><Relationship Id="rId62" Type="http://schemas.openxmlformats.org/officeDocument/2006/relationships/hyperlink" Target="http://www.sec.gov/Archives/edgar/data/1611647/000114036121005499/nt10020578x2_10-1.htm" TargetMode="External"/><Relationship Id="rId63" Type="http://schemas.openxmlformats.org/officeDocument/2006/relationships/hyperlink" Target="http://www.sec.gov/Archives/edgar/data/1611647/000114036120022646/brhc10015670_ex99-1.htm" TargetMode="External"/><Relationship Id="rId64" Type="http://schemas.openxmlformats.org/officeDocument/2006/relationships/hyperlink" Target="http://www.sec.gov/Archives/edgar/data/1611647/000143774921003615/ex_227984.htm" TargetMode="External"/><Relationship Id="rId65" Type="http://schemas.openxmlformats.org/officeDocument/2006/relationships/hyperlink" Target="http://www.sec.gov/Archives/edgar/data/1611647/000119312514441396/d836608dex992.htm" TargetMode="External"/><Relationship Id="rId66" Type="http://schemas.openxmlformats.org/officeDocument/2006/relationships/hyperlink" Target="http://www.sec.gov/Archives/edgar/data/1611647/000119312514441396/d836608dex993.htm" TargetMode="External"/><Relationship Id="rId67" Type="http://schemas.openxmlformats.org/officeDocument/2006/relationships/hyperlink" Target="http://www.sec.gov/Archives/edgar/data/1611647/000119312514382241/d744509dex1017.htm" TargetMode="External"/><Relationship Id="rId68" Type="http://schemas.openxmlformats.org/officeDocument/2006/relationships/hyperlink" Target="http://www.sec.gov/Archives/edgar/data/1611647/000119312514382241/d744509dex1018.htm" TargetMode="External"/><Relationship Id="rId69" Type="http://schemas.openxmlformats.org/officeDocument/2006/relationships/hyperlink" Target="http://www.sec.gov/Archives/edgar/data/1611647/000119312514382241/d744509dex1019.htm" TargetMode="External"/><Relationship Id="rId70" Type="http://schemas.openxmlformats.org/officeDocument/2006/relationships/hyperlink" Target="http://www.sec.gov/Archives/edgar/data/1611647/000119312514382241/d744509dex1020.htm" TargetMode="External"/><Relationship Id="rId71" Type="http://schemas.openxmlformats.org/officeDocument/2006/relationships/hyperlink" Target="http://www.sec.gov/Archives/edgar/data/1611647/000119312514382241/d744509dex1021.htm" TargetMode="External"/><Relationship Id="rId72" Type="http://schemas.openxmlformats.org/officeDocument/2006/relationships/hyperlink" Target="http://www.sec.gov/Archives/edgar/data/1611647/000143774923004928/ex_448389.htm" TargetMode="External"/><Relationship Id="rId73" Type="http://schemas.openxmlformats.org/officeDocument/2006/relationships/hyperlink" Target="http://www.sec.gov/Archives/edgar/data/1611647/000156459016023277/frpt-ex101_184.htm" TargetMode="External"/><Relationship Id="rId74" Type="http://schemas.openxmlformats.org/officeDocument/2006/relationships/hyperlink" Target="http://www.sec.gov/Archives/edgar/data/1611647/000119312514394733/d744509dex1029.htm" TargetMode="External"/><Relationship Id="rId75" Type="http://schemas.openxmlformats.org/officeDocument/2006/relationships/hyperlink" Target="http://www.sec.gov/Archives/edgar/data/1611647/000143774921003615/ex_227986.htm" TargetMode="External"/><Relationship Id="rId76" Type="http://schemas.openxmlformats.org/officeDocument/2006/relationships/hyperlink" Target="http://www.sec.gov/Archives/edgar/data/1611647/000092963822001549/exhibit10-1.htm" TargetMode="External"/><Relationship Id="rId77" Type="http://schemas.openxmlformats.org/officeDocument/2006/relationships/hyperlink" Target="http://www.sec.gov/Archives/edgar/data/1611647/000114036122017071/ny20004070x2_ex10-1.htm" TargetMode="External"/><Relationship Id="rId78" Type="http://schemas.openxmlformats.org/officeDocument/2006/relationships/hyperlink" Target="http://www.sec.gov/Archives/edgar/data/1611647/000092963822001628/exhibit10-1.htm" TargetMode="External"/><Relationship Id="rId79" Type="http://schemas.openxmlformats.org/officeDocument/2006/relationships/hyperlink" Target="http://www.sec.gov/Archives/edgar/data/1611647/000156459019014373/frpt-ex1018_151.htm" TargetMode="External"/><Relationship Id="rId80" Type="http://schemas.openxmlformats.org/officeDocument/2006/relationships/hyperlink" Target="http://www.sec.gov/Archives/edgar/data/1611647/000119312514394733/d744509dex1030.htm" TargetMode="External"/><Relationship Id="rId81" Type="http://schemas.openxmlformats.org/officeDocument/2006/relationships/hyperlink" Target="http://www.sec.gov/Archives/edgar/data/1611647/000114036120022646/brhc10015670_ex99-2.htm" TargetMode="External"/><Relationship Id="rId82" Type="http://schemas.openxmlformats.org/officeDocument/2006/relationships/hyperlink" Target="http://www.sec.gov/Archives/edgar/data/1611647/000114036120022646/brhc10015670_ex99-3.htm" TargetMode="External"/><Relationship Id="rId83" Type="http://schemas.openxmlformats.org/officeDocument/2006/relationships/hyperlink" Target="http://www.sec.gov/Archives/edgar/data/1611647/000119312514394733/d744509dex1031.htm" TargetMode="External"/><Relationship Id="rId84" Type="http://schemas.openxmlformats.org/officeDocument/2006/relationships/hyperlink" Target="http://www.sec.gov/Archives/edgar/data/1611647/000143774923004928/ex_448390.htm" TargetMode="External"/><Relationship Id="rId85" Type="http://schemas.openxmlformats.org/officeDocument/2006/relationships/hyperlink" Target="http://www.sec.gov/Archives/edgar/data/1611647/000143774923004928/ex_448391.htm" TargetMode="External"/><Relationship Id="rId86" Type="http://schemas.openxmlformats.org/officeDocument/2006/relationships/hyperlink" Target="http://www.sec.gov/Archives/edgar/data/1611647/000143774923004928/ex_448392.htm" TargetMode="External"/><Relationship Id="rId87" Type="http://schemas.openxmlformats.org/officeDocument/2006/relationships/hyperlink" Target="http://www.sec.gov/Archives/edgar/data/1611647/000143774923004928/ex_448393.htm" TargetMode="External"/><Relationship Id="rId88" Type="http://schemas.openxmlformats.org/officeDocument/2006/relationships/hyperlink" Target="http://www.sec.gov/Archives/edgar/data/1611647/000143774923004928/ex_4483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2023-05-01T15:39:04Z</dcterms:created>
  <dcterms:modified xsi:type="dcterms:W3CDTF">2023-05-01T15:39:04Z</dcterms:modified>
</cp:coreProperties>
</file>