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Cyr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0"/>
        <w:gridCol w:w="932"/>
        <w:gridCol w:w="801"/>
        <w:gridCol w:w="619"/>
        <w:gridCol w:w="342"/>
        <w:gridCol w:w="913"/>
        <w:gridCol w:w="418"/>
        <w:gridCol w:w="804"/>
        <w:gridCol w:w="1116"/>
        <w:gridCol w:w="968"/>
        <w:gridCol w:w="13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308,174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72.86</w:t>
            </w:r>
            <w:r>
              <w:rPr>
                <w:rFonts w:ascii="Times;serif" w:hAnsi="Times;serif"/>
                <w:color w:val="008000"/>
                <w:position w:val="7"/>
                <w:sz w:val="16"/>
                <w:sz w:val="20"/>
                <w:shd w:fill="FFFFFF" w:val="clear"/>
              </w:rPr>
              <w:t>(2)(3)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267,152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34,154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72.41</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33,503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77,421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72.41</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70,959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r>
        <w:trPr/>
        <w:tc>
          <w:tcPr>
            <w:tcW w:w="19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72.41</w:t>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69,836</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bl>
    <w:tbl>
      <w:tblPr>
        <w:tblW w:w="124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117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243,548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Irrevocable Spousal Trust for Linda W. Cyr</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Linda W. Cyr 2020 Irrevocable Trust for Descendants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$72.755 to $72.870.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undertakes to provide to Freshpet, Inc., any security holders of Freshpet, Inc. or the staff of the Securities and Exchange Commission, upon request, full information regarding the number of shares sold at each price within the range set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were issued pursuant to the Issuer's 2014 Omnibus Incentive Plan. These options are fully vested as of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Lampert,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80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4617</Characters>
  <CharactersWithSpaces>5307</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