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0637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0637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23, 2026</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FRESHPET,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14" w:lineRule="exact"/>
        <w:rPr>
          <w:sz w:val="24"/>
          <w:szCs w:val="24"/>
          <w:color w:val="auto"/>
        </w:rPr>
      </w:pPr>
    </w:p>
    <w:tbl>
      <w:tblPr>
        <w:tblLayout w:type="fixed"/>
        <w:tblInd w:w="860" w:type="dxa"/>
        <w:tblCellMar>
          <w:top w:w="0" w:type="dxa"/>
          <w:left w:w="0" w:type="dxa"/>
          <w:bottom w:w="0" w:type="dxa"/>
          <w:right w:w="0" w:type="dxa"/>
        </w:tblCellMar>
      </w:tblPr>
      <w:tr>
        <w:trPr>
          <w:trHeight w:val="159"/>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80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001-36729</w:t>
            </w:r>
          </w:p>
        </w:tc>
        <w:tc>
          <w:tcPr>
            <w:tcW w:w="1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20-1884894</w:t>
            </w:r>
          </w:p>
        </w:tc>
      </w:tr>
      <w:tr>
        <w:trPr>
          <w:trHeight w:val="147"/>
        </w:trPr>
        <w:tc>
          <w:tcPr>
            <w:tcW w:w="2520" w:type="dxa"/>
            <w:vAlign w:val="bottom"/>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800" w:type="dxa"/>
            <w:vAlign w:val="bottom"/>
          </w:tcPr>
          <w:p>
            <w:pPr>
              <w:spacing w:after="0"/>
              <w:rPr>
                <w:sz w:val="12"/>
                <w:szCs w:val="12"/>
                <w:color w:val="auto"/>
              </w:rPr>
            </w:pPr>
          </w:p>
        </w:tc>
        <w:tc>
          <w:tcPr>
            <w:tcW w:w="170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8"/>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480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170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27"/>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1450 US-206,</w:t>
            </w:r>
          </w:p>
        </w:tc>
        <w:tc>
          <w:tcPr>
            <w:tcW w:w="4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Bedminster, New Jersey</w:t>
            </w:r>
          </w:p>
        </w:tc>
        <w:tc>
          <w:tcPr>
            <w:tcW w:w="4800" w:type="dxa"/>
            <w:vAlign w:val="bottom"/>
          </w:tcPr>
          <w:p>
            <w:pPr>
              <w:spacing w:after="0"/>
              <w:rPr>
                <w:sz w:val="14"/>
                <w:szCs w:val="14"/>
                <w:color w:val="auto"/>
              </w:rPr>
            </w:pPr>
          </w:p>
        </w:tc>
        <w:tc>
          <w:tcPr>
            <w:tcW w:w="17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07921</w:t>
            </w:r>
          </w:p>
        </w:tc>
      </w:tr>
      <w:tr>
        <w:trPr>
          <w:trHeight w:val="171"/>
        </w:trPr>
        <w:tc>
          <w:tcPr>
            <w:tcW w:w="252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4800" w:type="dxa"/>
            <w:vAlign w:val="bottom"/>
          </w:tcPr>
          <w:p>
            <w:pPr>
              <w:spacing w:after="0"/>
              <w:rPr>
                <w:sz w:val="14"/>
                <w:szCs w:val="14"/>
                <w:color w:val="auto"/>
              </w:rPr>
            </w:pPr>
          </w:p>
        </w:tc>
        <w:tc>
          <w:tcPr>
            <w:tcW w:w="1700" w:type="dxa"/>
            <w:vAlign w:val="bottom"/>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351"/>
        </w:trPr>
        <w:tc>
          <w:tcPr>
            <w:tcW w:w="2520" w:type="dxa"/>
            <w:vAlign w:val="bottom"/>
          </w:tcPr>
          <w:p>
            <w:pPr>
              <w:spacing w:after="0"/>
              <w:rPr>
                <w:sz w:val="24"/>
                <w:szCs w:val="24"/>
                <w:color w:val="auto"/>
              </w:rPr>
            </w:pPr>
          </w:p>
        </w:tc>
        <w:tc>
          <w:tcPr>
            <w:tcW w:w="480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Registrant</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s Telephone Number, Including Area Code: (201</w:t>
            </w:r>
            <w:r>
              <w:rPr>
                <w:rFonts w:ascii="Times New Roman" w:cs="Times New Roman" w:eastAsia="Times New Roman" w:hAnsi="Times New Roman"/>
                <w:sz w:val="12"/>
                <w:szCs w:val="12"/>
                <w:color w:val="auto"/>
                <w:w w:val="99"/>
              </w:rPr>
              <w:t>)</w:t>
            </w:r>
            <w:r>
              <w:rPr>
                <w:rFonts w:ascii="Times New Roman" w:cs="Times New Roman" w:eastAsia="Times New Roman" w:hAnsi="Times New Roman"/>
                <w:sz w:val="12"/>
                <w:szCs w:val="12"/>
                <w:b w:val="1"/>
                <w:bCs w:val="1"/>
                <w:color w:val="auto"/>
                <w:w w:val="99"/>
              </w:rPr>
              <w:t xml:space="preserve"> 520-4000</w:t>
            </w:r>
          </w:p>
        </w:tc>
        <w:tc>
          <w:tcPr>
            <w:tcW w:w="1700" w:type="dxa"/>
            <w:vAlign w:val="bottom"/>
          </w:tcPr>
          <w:p>
            <w:pPr>
              <w:spacing w:after="0"/>
              <w:rPr>
                <w:sz w:val="24"/>
                <w:szCs w:val="24"/>
                <w:color w:val="auto"/>
              </w:rPr>
            </w:pPr>
          </w:p>
        </w:tc>
      </w:tr>
      <w:tr>
        <w:trPr>
          <w:trHeight w:val="273"/>
        </w:trPr>
        <w:tc>
          <w:tcPr>
            <w:tcW w:w="2520" w:type="dxa"/>
            <w:vAlign w:val="bottom"/>
          </w:tcPr>
          <w:p>
            <w:pPr>
              <w:spacing w:after="0"/>
              <w:rPr>
                <w:sz w:val="23"/>
                <w:szCs w:val="23"/>
                <w:color w:val="auto"/>
              </w:rPr>
            </w:pPr>
          </w:p>
        </w:tc>
        <w:tc>
          <w:tcPr>
            <w:tcW w:w="480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700" w:type="dxa"/>
            <w:vAlign w:val="bottom"/>
          </w:tcPr>
          <w:p>
            <w:pPr>
              <w:spacing w:after="0"/>
              <w:rPr>
                <w:sz w:val="23"/>
                <w:szCs w:val="23"/>
                <w:color w:val="auto"/>
              </w:rPr>
            </w:pPr>
          </w:p>
        </w:tc>
      </w:tr>
      <w:tr>
        <w:trPr>
          <w:trHeight w:val="159"/>
        </w:trPr>
        <w:tc>
          <w:tcPr>
            <w:tcW w:w="2520" w:type="dxa"/>
            <w:vAlign w:val="bottom"/>
          </w:tcPr>
          <w:p>
            <w:pPr>
              <w:spacing w:after="0"/>
              <w:rPr>
                <w:sz w:val="13"/>
                <w:szCs w:val="13"/>
                <w:color w:val="auto"/>
              </w:rPr>
            </w:pPr>
          </w:p>
        </w:tc>
        <w:tc>
          <w:tcPr>
            <w:tcW w:w="4800" w:type="dxa"/>
            <w:vAlign w:val="bottom"/>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700" w:type="dxa"/>
            <w:vAlign w:val="bottom"/>
          </w:tcPr>
          <w:p>
            <w:pPr>
              <w:spacing w:after="0"/>
              <w:rPr>
                <w:sz w:val="13"/>
                <w:szCs w:val="13"/>
                <w:color w:val="auto"/>
              </w:rPr>
            </w:pPr>
          </w:p>
        </w:tc>
      </w:tr>
    </w:tbl>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3"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14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329"/>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60"/>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w:t>
            </w: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FRPT</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NASDAQ Global Market</w:t>
            </w:r>
          </w:p>
        </w:tc>
      </w:tr>
    </w:tbl>
    <w:p>
      <w:pPr>
        <w:spacing w:after="0" w:line="196" w:lineRule="exact"/>
        <w:rPr>
          <w:sz w:val="24"/>
          <w:szCs w:val="24"/>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94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On February 23, 2026, Freshpet, Inc. (“Freshpet”) issued a press release disclosing its financial results for the quarter and year ended December 31, 2025. The full text of the press release is attached hereto as Exhibit 99.1 and is incorporated herein by reference.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previously announced, Freshpet will hold a conference call at 8:00 a.m., Eastern Time, on Monday, February 23, 2026, to discuss its financial results for the quarter and year ended December 31, 2025.</w:t>
      </w:r>
    </w:p>
    <w:p>
      <w:pPr>
        <w:spacing w:after="0" w:line="15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Freshpet references non-GAAP financial information in the press release and makes similar references in the transcript to the conference call. A reconciliation of these non-GAAP financial measures to the nearest comparable GAAP financial measures is contained in the attached Exhibit 99.1 press release.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On February 23, 2026, Freshpet published to the investor relations section of its website a presentation which will be used by Freshpet’s management team in meetings with analysts and stockholders. A copy of the presentation is attached hereto as Exhibit 99.2 and is incorporated herein by reference.</w:t>
      </w:r>
    </w:p>
    <w:p>
      <w:pPr>
        <w:spacing w:after="0" w:line="111"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The information furnished with Item 2.02 and this Item 7.01, including Exhibits 99.1 and 99.2, shall not be deemed “filed” for purposes of Section 18 of the Securities Exchange Act of 1934, as amended (“the Exchange Act”) or incorporated by reference into any other filing under the Securities Act of 1933, as amended, or the Exchange Act, except as expressly set forth by specific reference in such a filing.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Freshpet uses the “Investors” section of its website (</w:t>
      </w:r>
      <w:r>
        <w:rPr>
          <w:rFonts w:ascii="Times New Roman" w:cs="Times New Roman" w:eastAsia="Times New Roman" w:hAnsi="Times New Roman"/>
          <w:sz w:val="12"/>
          <w:szCs w:val="12"/>
          <w:i w:val="1"/>
          <w:iCs w:val="1"/>
          <w:color w:val="auto"/>
        </w:rPr>
        <w:t>investors.freshpet.com</w:t>
      </w:r>
      <w:r>
        <w:rPr>
          <w:rFonts w:ascii="Times New Roman" w:cs="Times New Roman" w:eastAsia="Times New Roman" w:hAnsi="Times New Roman"/>
          <w:sz w:val="12"/>
          <w:szCs w:val="12"/>
          <w:color w:val="auto"/>
        </w:rPr>
        <w:t>) as a means of disclosing material non-public information and for complying with its disclosure obligations under Regulation FD.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1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1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96"/>
        </w:trPr>
        <w:tc>
          <w:tcPr>
            <w:tcW w:w="1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1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1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dated February 23, 2026</w:t>
            </w:r>
          </w:p>
        </w:tc>
        <w:tc>
          <w:tcPr>
            <w:tcW w:w="0" w:type="dxa"/>
            <w:vAlign w:val="bottom"/>
          </w:tcPr>
          <w:p>
            <w:pPr>
              <w:spacing w:after="0"/>
              <w:rPr>
                <w:sz w:val="1"/>
                <w:szCs w:val="1"/>
                <w:color w:val="auto"/>
              </w:rPr>
            </w:pPr>
          </w:p>
        </w:tc>
      </w:tr>
      <w:tr>
        <w:trPr>
          <w:trHeight w:val="151"/>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rPr>
              <w:t>Investors Presentation</w:t>
            </w:r>
          </w:p>
        </w:tc>
        <w:tc>
          <w:tcPr>
            <w:tcW w:w="8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84"/>
        </w:trPr>
        <w:tc>
          <w:tcPr>
            <w:tcW w:w="1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2"/>
                <w:szCs w:val="12"/>
                <w:color w:val="auto"/>
              </w:rPr>
              <w:t>FRESHPET, INC.</w:t>
            </w:r>
          </w:p>
        </w:tc>
      </w:tr>
      <w:tr>
        <w:trPr>
          <w:trHeight w:val="35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23, 2026</w:t>
            </w:r>
          </w:p>
        </w:tc>
        <w:tc>
          <w:tcPr>
            <w:tcW w:w="27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John G. O'Connor</w:t>
            </w:r>
          </w:p>
        </w:tc>
      </w:tr>
      <w:tr>
        <w:trPr>
          <w:trHeight w:val="148"/>
        </w:trPr>
        <w:tc>
          <w:tcPr>
            <w:tcW w:w="3380" w:type="dxa"/>
            <w:vAlign w:val="bottom"/>
          </w:tcPr>
          <w:p>
            <w:pPr>
              <w:spacing w:after="0"/>
              <w:rPr>
                <w:sz w:val="12"/>
                <w:szCs w:val="12"/>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2"/>
                <w:szCs w:val="12"/>
                <w:color w:val="auto"/>
              </w:rPr>
              <w:t>Name: John G. O'Connor</w:t>
            </w:r>
          </w:p>
        </w:tc>
      </w:tr>
      <w:tr>
        <w:trPr>
          <w:trHeight w:val="169"/>
        </w:trPr>
        <w:tc>
          <w:tcPr>
            <w:tcW w:w="3380" w:type="dxa"/>
            <w:vAlign w:val="bottom"/>
          </w:tcPr>
          <w:p>
            <w:pPr>
              <w:spacing w:after="0"/>
              <w:rPr>
                <w:sz w:val="14"/>
                <w:szCs w:val="14"/>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2"/>
                <w:szCs w:val="12"/>
                <w:color w:val="auto"/>
              </w:rPr>
              <w:t>Title: Chief Financial Officer</w:t>
            </w:r>
          </w:p>
        </w:tc>
      </w:tr>
    </w:tbl>
    <w:p>
      <w:pPr>
        <w:sectPr>
          <w:pgSz w:w="11900" w:h="16838" w:orient="portrait"/>
          <w:cols w:equalWidth="0" w:num="1">
            <w:col w:w="11300"/>
          </w:cols>
          <w:pgMar w:left="300" w:top="665"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474345" cy="19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4345" cy="1943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Freshpet, Inc. Reports Fourth Quarter and Full Year 2025 Financial Results</w:t>
      </w:r>
    </w:p>
    <w:p>
      <w:pPr>
        <w:spacing w:after="0" w:line="1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Full Year 2025 Net Sales Growth of 13% and Achieves Positive Free Cash Flow</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i w:val="1"/>
          <w:iCs w:val="1"/>
          <w:color w:val="auto"/>
        </w:rPr>
        <w:t>Provides Full Year 2026 Outlook</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Bedminster, N.J. – February 23, 2026 – Freshpet, Inc. (“Freshpet” or the “Company”) (Nasdaq: FRPT) today reported financial results for its fourth quarter and full year ended December 31, 2025.</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Fourth Quarter 2025 Financial Highlights Compared to Prior Year Period</w:t>
      </w:r>
    </w:p>
    <w:p>
      <w:pPr>
        <w:spacing w:after="0" w:line="154" w:lineRule="exact"/>
        <w:rPr>
          <w:sz w:val="20"/>
          <w:szCs w:val="20"/>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sales of $285.2 million, an increase of 8.6%.</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margin of 43.3%, compared to the prior year period of 42.5%.</w:t>
      </w:r>
    </w:p>
    <w:p>
      <w:pPr>
        <w:spacing w:after="0" w:line="6" w:lineRule="exact"/>
        <w:rPr>
          <w:rFonts w:ascii="Times New Roman" w:cs="Times New Roman" w:eastAsia="Times New Roman" w:hAnsi="Times New Roman"/>
          <w:sz w:val="12"/>
          <w:szCs w:val="12"/>
          <w:color w:val="auto"/>
        </w:rPr>
      </w:pPr>
    </w:p>
    <w:p>
      <w:pPr>
        <w:ind w:left="428" w:hanging="212"/>
        <w:spacing w:after="0" w:line="201" w:lineRule="auto"/>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of 48.4%, compared to the prior year period of 48.1%.</w:t>
      </w:r>
      <w:r>
        <w:rPr>
          <w:rFonts w:ascii="Times New Roman" w:cs="Times New Roman" w:eastAsia="Times New Roman" w:hAnsi="Times New Roman"/>
          <w:sz w:val="15"/>
          <w:szCs w:val="15"/>
          <w:color w:val="auto"/>
          <w:vertAlign w:val="superscript"/>
        </w:rPr>
        <w:t>1</w:t>
      </w: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$33.8 million, compared to the prior year period net income of $18.1 million.</w:t>
      </w:r>
    </w:p>
    <w:p>
      <w:pPr>
        <w:spacing w:after="0" w:line="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$61.2 million, compared to the prior year period of $52.6 million.</w:t>
      </w:r>
      <w:r>
        <w:rPr>
          <w:rFonts w:ascii="Times New Roman" w:cs="Times New Roman" w:eastAsia="Times New Roman" w:hAnsi="Times New Roman"/>
          <w:sz w:val="15"/>
          <w:szCs w:val="15"/>
          <w:color w:val="auto"/>
          <w:vertAlign w:val="superscript"/>
        </w:rPr>
        <w:t>1</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Full Year 2025 Financial Highlights Compared to Prior Year</w:t>
      </w:r>
    </w:p>
    <w:p>
      <w:pPr>
        <w:spacing w:after="0" w:line="154" w:lineRule="exact"/>
        <w:rPr>
          <w:sz w:val="20"/>
          <w:szCs w:val="20"/>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sales of $1,102.0 million, an increase of 13.0%.</w:t>
      </w:r>
    </w:p>
    <w:p>
      <w:pPr>
        <w:spacing w:after="0" w:line="1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margin of 40.8%, compared to the prior year of 40.6%.</w:t>
      </w:r>
    </w:p>
    <w:p>
      <w:pPr>
        <w:spacing w:after="0" w:line="6" w:lineRule="exact"/>
        <w:rPr>
          <w:rFonts w:ascii="Times New Roman" w:cs="Times New Roman" w:eastAsia="Times New Roman" w:hAnsi="Times New Roman"/>
          <w:sz w:val="12"/>
          <w:szCs w:val="12"/>
          <w:color w:val="auto"/>
        </w:rPr>
      </w:pPr>
    </w:p>
    <w:p>
      <w:pPr>
        <w:ind w:left="428" w:hanging="212"/>
        <w:spacing w:after="0" w:line="201" w:lineRule="auto"/>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Margin of 46.7%, compared to the prior year of 46.5%.</w:t>
      </w:r>
      <w:r>
        <w:rPr>
          <w:rFonts w:ascii="Times New Roman" w:cs="Times New Roman" w:eastAsia="Times New Roman" w:hAnsi="Times New Roman"/>
          <w:sz w:val="15"/>
          <w:szCs w:val="15"/>
          <w:color w:val="auto"/>
          <w:vertAlign w:val="superscript"/>
        </w:rPr>
        <w:t>1</w:t>
      </w: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of $139.1 million, compared to the prior year net income of $46.9 million.</w:t>
      </w:r>
    </w:p>
    <w:p>
      <w:pPr>
        <w:spacing w:after="0" w:line="4" w:lineRule="exact"/>
        <w:rPr>
          <w:rFonts w:ascii="Times New Roman" w:cs="Times New Roman" w:eastAsia="Times New Roman" w:hAnsi="Times New Roman"/>
          <w:sz w:val="12"/>
          <w:szCs w:val="12"/>
          <w:color w:val="auto"/>
        </w:rPr>
      </w:pPr>
    </w:p>
    <w:p>
      <w:pPr>
        <w:ind w:left="428" w:hanging="212"/>
        <w:spacing w:after="0" w:line="201" w:lineRule="auto"/>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$195.7 million, compared to the prior year of $161.8 million.</w:t>
      </w:r>
      <w:r>
        <w:rPr>
          <w:rFonts w:ascii="Times New Roman" w:cs="Times New Roman" w:eastAsia="Times New Roman" w:hAnsi="Times New Roman"/>
          <w:sz w:val="15"/>
          <w:szCs w:val="15"/>
          <w:color w:val="auto"/>
          <w:vertAlign w:val="superscript"/>
        </w:rPr>
        <w:t>1</w:t>
      </w:r>
    </w:p>
    <w:p>
      <w:pPr>
        <w:ind w:left="428" w:hanging="212"/>
        <w:spacing w:after="0"/>
        <w:tabs>
          <w:tab w:leader="none" w:pos="42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 of $12.4 million, compared to the prior year of ($32.8) million.</w:t>
      </w:r>
      <w:r>
        <w:rPr>
          <w:rFonts w:ascii="Times New Roman" w:cs="Times New Roman" w:eastAsia="Times New Roman" w:hAnsi="Times New Roman"/>
          <w:sz w:val="15"/>
          <w:szCs w:val="15"/>
          <w:color w:val="auto"/>
          <w:vertAlign w:val="superscript"/>
        </w:rPr>
        <w:t>1</w:t>
      </w:r>
    </w:p>
    <w:p>
      <w:pPr>
        <w:spacing w:after="0" w:line="113"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2"/>
          <w:szCs w:val="12"/>
          <w:color w:val="auto"/>
        </w:rPr>
        <w:t>"Fiscal year 2025 taught us some very important lessons and challenged the resilience of our business and our organization. In the end, our team demonstrated tremendous agility – delivering growth well in excess of the dog food category, surpassing $1 billion in net sales for the first time, expanding margins and achieving positive free cash flow," commented Billy Cyr, Freshpet’s Chief Executive Officer. "Importantly, we strengthened our foundation for future growth. We retooled our marketing model to drive household penetration growth and we are building momentum in e-commerce. We also began testing island fridges – our most significant step change in retail visibility and availability</w:t>
      </w:r>
    </w:p>
    <w:p>
      <w:pPr>
        <w:spacing w:after="0" w:line="1" w:lineRule="exact"/>
        <w:rPr>
          <w:sz w:val="20"/>
          <w:szCs w:val="20"/>
          <w:color w:val="auto"/>
        </w:rPr>
      </w:pPr>
    </w:p>
    <w:p>
      <w:pPr>
        <w:ind w:left="8"/>
        <w:spacing w:after="0" w:line="243" w:lineRule="auto"/>
        <w:rPr>
          <w:sz w:val="20"/>
          <w:szCs w:val="20"/>
          <w:color w:val="auto"/>
        </w:rPr>
      </w:pPr>
      <w:r>
        <w:rPr>
          <w:rFonts w:ascii="Times New Roman" w:cs="Times New Roman" w:eastAsia="Times New Roman" w:hAnsi="Times New Roman"/>
          <w:sz w:val="12"/>
          <w:szCs w:val="12"/>
          <w:color w:val="auto"/>
        </w:rPr>
        <w:t>– and we recently started up our first manufacturing line utilizing a breakthrough technology that we believe can enhance both product quality and profitability. We believe these efforts position us well to deliver outsized growth and improve profitability while fulfilling our mission to help dogs and cats live longer, happier and healthier lives with the people who love them."</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Fourth Quarter 2025</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Net sales increased 8.6% to $285.2 million for the fourth quarter of 2025, compared to $262.7 million in the prior year period. The increase in net sales was primarily driven by volume gains of 9.7%, partially offset by unfavorable price/mix of 1.1%.</w:t>
      </w:r>
    </w:p>
    <w:p>
      <w:pPr>
        <w:spacing w:after="0" w:line="111"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2"/>
          <w:szCs w:val="12"/>
          <w:color w:val="auto"/>
        </w:rPr>
        <w:t>Gross profit was $123.5 million, or 43.3% as a percentage of net sales, for the fourth quarter of 2025, compared to $111.6 million, or 42.5% as a percentage of net sales, in the prior year period. Gross profit as a percentage of net sales increased primarily due to reduced quality costs and improved leverage on plant expenses, partially offset by higher input costs. For the fourth quarter of 2025, Adjusted Gross Profit was $138.1 million, or 48.4% as a percentage of net sales, compared to $126.3 million, or 48.1% as a percentage of net sales, in the prior year period.</w:t>
      </w:r>
      <w:r>
        <w:rPr>
          <w:rFonts w:ascii="Times New Roman" w:cs="Times New Roman" w:eastAsia="Times New Roman" w:hAnsi="Times New Roman"/>
          <w:sz w:val="15"/>
          <w:szCs w:val="1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38" w:lineRule="exact"/>
        <w:rPr>
          <w:sz w:val="20"/>
          <w:szCs w:val="20"/>
          <w:color w:val="auto"/>
        </w:rPr>
      </w:pPr>
    </w:p>
    <w:p>
      <w:pPr>
        <w:ind w:left="8" w:hanging="8"/>
        <w:spacing w:after="0" w:line="236" w:lineRule="auto"/>
        <w:tabs>
          <w:tab w:leader="none" w:pos="75" w:val="left"/>
        </w:tabs>
        <w:numPr>
          <w:ilvl w:val="0"/>
          <w:numId w:val="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Gross Margin, Adjusted Gross Profit, Adjusted SG&amp;A, Adjusted EBITDA and Free Cash Flow are non-GAAP financial measures. See "Non-GAAP Measures" for how the Company defines these measures and the financial tables that accompany this release for reconciliations of these measures to the closest comparable GAAP measures.</w:t>
      </w: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665" w:right="299" w:bottom="1440" w:gutter="0" w:footer="0" w:header="0"/>
        </w:sectPr>
      </w:pPr>
    </w:p>
    <w:bookmarkStart w:id="4" w:name="page5"/>
    <w:bookmarkEnd w:id="4"/>
    <w:p>
      <w:pPr>
        <w:jc w:val="both"/>
        <w:spacing w:after="0" w:line="270" w:lineRule="auto"/>
        <w:rPr>
          <w:sz w:val="20"/>
          <w:szCs w:val="20"/>
          <w:color w:val="auto"/>
        </w:rPr>
      </w:pPr>
      <w:r>
        <w:rPr>
          <w:rFonts w:ascii="Times New Roman" w:cs="Times New Roman" w:eastAsia="Times New Roman" w:hAnsi="Times New Roman"/>
          <w:sz w:val="12"/>
          <w:szCs w:val="12"/>
          <w:color w:val="auto"/>
        </w:rPr>
        <w:t>Selling, general and administrative expenses (“SG&amp;A”) were $79.0 million, or 27.7% as a percentage of net sales, for the fourth quarter of 2025, compared to $92.2 million, or 35.1% as a percentage of net sales, in the prior year period. SG&amp;A as a percentage of net sales decreased primarily due to decreased share-based compensation and variable compensation accrual, partially offset by increased media spend as a percentage of net sales. Adjusted SG&amp;A for the fourth quarter of 2025 was $76.9 million, or 27.0% as a percentage of net sales, compared to $73.6 million, or 28.0% as a percentage of net sales, in the prior year period.</w:t>
      </w:r>
      <w:r>
        <w:rPr>
          <w:rFonts w:ascii="Times New Roman" w:cs="Times New Roman" w:eastAsia="Times New Roman" w:hAnsi="Times New Roman"/>
          <w:sz w:val="15"/>
          <w:szCs w:val="15"/>
          <w:color w:val="auto"/>
          <w:vertAlign w:val="superscript"/>
        </w:rPr>
        <w:t>1</w:t>
      </w:r>
    </w:p>
    <w:p>
      <w:pPr>
        <w:spacing w:after="0" w:line="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Net income was $33.8 million for the fourth quarter of 2025 compared to $18.1 million in the prior year period. The increase in net income was due to the contribution from higher sales, increase in gross profit, and decreased SG&amp;A expenses, partially offset by the deferred income tax expense in the current year period.</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Adjusted EBITDA was $61.2 million for the fourth quarter of 2025 compared to $52.6 million in the prior year period.</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The increase in Adjusted EBITDA was a result of increased Adjusted Gross Profit, partially offset by higher Adjusted SG&amp;A.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2025</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Net sales increased 13.0% to $1,102.0 million for the full year ended December 31, 2025, compared to $975.2 million in the prior year. The increase in net sales was primarily driven by volume gains of 12.0% and favorable price/mix of 1.0%.</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Gross profit was $449.6 million, or 40.8% as a percentage of net sales, for the full year ended December 31, 2025, compared to $396.0 million, or 40.6% as a percentage of net sales, in the prior year. Gross profit as a percentage of net sales increased primarily due to lower input costs and reduced quality costs, partially offset by reduced leverage on plant expenses. Adjusted Gross Profit was $515.2 million, or 46.7% as a percentage of net sales, compared to $453.5 million, or 46.5% as a percentage of net sales, in the prior year.</w:t>
      </w:r>
      <w:r>
        <w:rPr>
          <w:rFonts w:ascii="Times New Roman" w:cs="Times New Roman" w:eastAsia="Times New Roman" w:hAnsi="Times New Roman"/>
          <w:sz w:val="15"/>
          <w:szCs w:val="15"/>
          <w:color w:val="auto"/>
          <w:vertAlign w:val="superscript"/>
        </w:rPr>
        <w:t>1</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SG&amp;A expenses were $374.0 million, or 33.9% as a percentage of net sales, for the full year ended December 31, 2025, compared to $358.0 million, or 36.7% as a percentage of net sales, in the prior year. SG&amp;A as a percentage of net sales decreased primarily due to decreased share-based compensation and variable compensation accrual, partially offset by increased media spend as a percentage of net sales and higher non-recurring charges in 2025. Adjusted SG&amp;A for the full year ended December 31, 2025 was $319.4 million, or 29.0% as a percentage of net sales, compared to $291.6 million, or 29.9% as a percentage of net sales, in the prior year.</w:t>
      </w:r>
      <w:r>
        <w:rPr>
          <w:rFonts w:ascii="Times New Roman" w:cs="Times New Roman" w:eastAsia="Times New Roman" w:hAnsi="Times New Roman"/>
          <w:sz w:val="15"/>
          <w:szCs w:val="15"/>
          <w:color w:val="auto"/>
          <w:vertAlign w:val="superscript"/>
        </w:rPr>
        <w:t>1</w:t>
      </w:r>
    </w:p>
    <w:p>
      <w:pPr>
        <w:spacing w:after="0" w:line="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Net income was $139.1 million for the full year ended December 31, 2025, compared to net income of $46.9 million in the prior year. The increase in net income was due to a $68.4 million income tax benefit, primarily resulting from the release of the valuation allowance in the current year as a result of sustained profitability and the expected future profitability, and contributions from higher sales, partially offset by increased SG&amp;A, including increased media spend of $29.2 million and $17.7 million of non-recurring charges in 2025, compared to a $9.9 million gain on equity investment in the prior year.</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Adjusted EBITDA was $195.7 million for the full year ended December 31, 2025, compared to $161.8 million in the prior year.</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The increase in Adjusted EBITDA was a result of increased Adjusted Gross Profit, partially offset by higher Adjusted SG&amp;A.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Balance Sheet</w:t>
      </w:r>
    </w:p>
    <w:p>
      <w:pPr>
        <w:spacing w:after="0" w:line="1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2025, the Company had cash and cash equivalents of $278.0 million with $397.3 million of debt outstanding, net of $5.2 million of unamortized debt issuance costs. For the year ended December 31, 2025, cash from operations was $160.6 million, an increase of $6.3 million compared to the prior year driven largely by the increase in net sales, partially offset by the higher variable incentive compensation payment in the first quarter of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will utilize its balance sheet to support its ongoing capital needs in connection with its long-term capacity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full year 2026, the Company is providing the following guidance:</w:t>
      </w:r>
    </w:p>
    <w:p>
      <w:pPr>
        <w:spacing w:after="0" w:line="17"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sales growth in the range of 7% to 10% compared to 2025;</w:t>
      </w:r>
    </w:p>
    <w:p>
      <w:pPr>
        <w:spacing w:after="0" w:line="6" w:lineRule="exact"/>
        <w:rPr>
          <w:rFonts w:ascii="Times New Roman" w:cs="Times New Roman" w:eastAsia="Times New Roman" w:hAnsi="Times New Roman"/>
          <w:sz w:val="12"/>
          <w:szCs w:val="12"/>
          <w:color w:val="auto"/>
        </w:rPr>
      </w:pPr>
    </w:p>
    <w:p>
      <w:pPr>
        <w:ind w:left="420" w:hanging="212"/>
        <w:spacing w:after="0" w:line="236"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in the range of $205 million to $215 million; and</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Positive free cash flow with capital expenditures of ~$150 million.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813" w:right="299" w:bottom="1440" w:gutter="0" w:footer="0" w:header="0"/>
        </w:sectPr>
      </w:pPr>
    </w:p>
    <w:bookmarkStart w:id="5" w:name="page6"/>
    <w:bookmarkEnd w:id="5"/>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does not provide guidance for net income, the U.S. GAAP measure most directly comparable to Adjusted EBITDA, and similarly cannot provide a reconciliation between its forecasted Adjusted EBITDA and net income metrics without unreasonable effort due to the unavailability of reliable estimates for certain components of net income and the respective reconciliations, including the timing of and amount of costs of goods sold and selling, general and administrative expenses. These items are not within the Company's control and may vary greatly between periods and could significantly impact future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&amp; Earnings Presentation Webcast Information</w:t>
      </w:r>
    </w:p>
    <w:p>
      <w:pPr>
        <w:spacing w:after="0" w:line="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As previously announced, today, February 23, 2026, the Company will host a conference call beginning at 8:00 a.m. Eastern Time with members of its leadership team. The conference call webcast will be available live over the Internet through the "Investors" section of the Company's website at www.freshpet.com. To participate on the live call, listeners in North America may dial (877) 407-0792 and international listeners may dial (201) 689-8263; the passcode is 13757975.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Freshpet</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Freshpet's mission is to elevate the way we feed our pets with fresh food that nourishes all. Freshpet foods are blends of fresh meats, vegetables and fruits farmed locally and made at our Freshpet Kitchens. We thoughtfully prepare our foods using natural ingredients, cooking them in small batches at lower temperatures to preserve the natural goodness of the ingredients. Freshpet foods and treats are kept refrigerated from the moment they are made until they arrive at Freshpet Fridges in your local market.</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foods are available in select grocery, mass, digital, pet specialty, and club retailers across the United States, Canada and Europe, as well as online in the U.S. From the care we take to source our ingredients and make our food, to the moment it reaches your home, our integrity, transparency and social responsibility are the way we like to run our business. To learn more, visit www.freshpet.com.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Connect with Freshpet: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https://www.facebook.com/Freshpet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https://x.com/Freshpet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http://instagram.com/Freshpet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http://pinterest.com/Freshpet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https://www.tiktok.com/@Freshpet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https://www.youtube.com/user/freshpet400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Certain statements in this press release constitute “forward-looking” statements within the meaning of the Private Securities Litigation Reform Act of 1995 and are based on our current expectations and assumptions. These include statements regarding the ability of our new technology to enhance both product quality and profitability, the ability of our 2025 efforts to deliver outsized growth and improve profitability, our ability to fund our long-term capacity plans, be positive free cash flow and our fiscal year 2026 guidance including net sales growth, Adjusted EBITDA and capital expenditures. Such statements are subject to risks and uncertainties that could cause actual results to differ materially from those discussed in the forward-looking statements including, but not limited to, the implementation of our new technologies in the time frame, at the rate, at the cost, or with anticipated efficiencies and impact on product quality we expect, economic uncertainty, changes in rates of pet acquisition, the launch of new competitive products, impact of tariffs and ingredient pricing, effectiveness of media campaigns, success rate of new chillers, and most prominently, the risks discussed under the heading "Risk Factors" in the Company's latest annual report on Form 10-K and in quarterly reports on Form 10-Q filed with the Securities and Exchange Commission. Such forward-looking statements are made only as of the date of this release. Freshpet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81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Freshpet uses the following non-GAAP financial measures in its financial communications. These non-GAAP financial measures should be considered as supplements to the U.S. GAAP reported measures, should not be considered replacements for, or superior to, the U.S. GAAP measures and may not be comparable to similarly named measures used by other companies.</w:t>
      </w:r>
    </w:p>
    <w:p>
      <w:pPr>
        <w:spacing w:after="0" w:line="111"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Profit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Gross Profit as a percentage of net sales (Adjusted Gross Margin)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SG&amp;A Expenses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SG&amp;A Expenses as a percentage of net sales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as a percentage of net sales (Adjusted EBITDA Margin)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Gross Profit:</w:t>
      </w:r>
      <w:r>
        <w:rPr>
          <w:rFonts w:ascii="Times New Roman" w:cs="Times New Roman" w:eastAsia="Times New Roman" w:hAnsi="Times New Roman"/>
          <w:sz w:val="12"/>
          <w:szCs w:val="12"/>
          <w:color w:val="auto"/>
        </w:rPr>
        <w:t xml:space="preserve"> Freshpet defines Adjusted Gross Profit as gross profit before depreciation expense, non-cash share-based compensation and loss on disposal of manufacturing equipment.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u w:val="single" w:color="auto"/>
          <w:color w:val="auto"/>
        </w:rPr>
        <w:t>Adjusted SG&amp;A Expenses:</w:t>
      </w:r>
      <w:r>
        <w:rPr>
          <w:rFonts w:ascii="Times New Roman" w:cs="Times New Roman" w:eastAsia="Times New Roman" w:hAnsi="Times New Roman"/>
          <w:sz w:val="12"/>
          <w:szCs w:val="12"/>
          <w:color w:val="auto"/>
        </w:rPr>
        <w:t xml:space="preserve"> Freshpet defines Adjusted SG&amp;A as SG&amp;A expenses before depreciation and amortization expense, non-cash share-based compensation, loss on disposal of equipment, distributor transition costs, legal obligation and international business charges.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u w:val="single" w:color="auto"/>
          <w:color w:val="auto"/>
        </w:rPr>
        <w:t>EBITDA and Adjusted EBITDA:</w:t>
      </w:r>
      <w:r>
        <w:rPr>
          <w:rFonts w:ascii="Times New Roman" w:cs="Times New Roman" w:eastAsia="Times New Roman" w:hAnsi="Times New Roman"/>
          <w:sz w:val="12"/>
          <w:szCs w:val="12"/>
          <w:color w:val="auto"/>
        </w:rPr>
        <w:t xml:space="preserve"> EBITDA represents net income plus depreciation and amortization expense, interest expense net of interest income and income tax (benefit) expense, and Adjusted EBITDA represents EBITDA less gain on equity investment, plus non-cash share-based compensation expense, loss on disposal of property, plant and equipment, distributor transition costs, legal obligation, and international business charges.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Free Cash Flow:</w:t>
      </w:r>
      <w:r>
        <w:rPr>
          <w:rFonts w:ascii="Times New Roman" w:cs="Times New Roman" w:eastAsia="Times New Roman" w:hAnsi="Times New Roman"/>
          <w:sz w:val="12"/>
          <w:szCs w:val="12"/>
          <w:color w:val="auto"/>
        </w:rPr>
        <w:t xml:space="preserve"> Freshpet defines Free Cash Flow as net cash flows provided by operating activities less capital expenditures.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Management believes that the non-GAAP financial measures are meaningful to investors because they provide a view of the Company with respect to ongoing operating results. The non-GAAP financial measures are shown as supplemental disclosures in this release because they are widely used by the investment community for analysis and comparative evaluation. They also provide additional metrics to evaluate the Company’s operations and, when considered with both the Company’s GAAP results and the reconciliation to the most comparable U.S. GAAP measures, provide a more complete understanding of the Company’s business than could be obtained absent this disclosure. The non-GAAP measures are not and should not be considered an alternative to the most comparable U.S. GAAP measures or any other figure calculated in accordance with U.S. GAAP, or as an indicator of operating performance. The Company’s calculation of the non-GAAP financial measures may differ from methods used by other companies. Management believes that the non-GAAP measures are important to an understanding of the Company's overall operating results in the periods presented. The non-GAAP financial measures are not recognized in accordance with U.S. GAAP and should not be viewed as an alternative to U.S. GAAP measures of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Rachel Ulsh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Rulsh@freshpet.com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Press@freshpet.com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809"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60" w:type="dxa"/>
            <w:vAlign w:val="bottom"/>
          </w:tcPr>
          <w:p>
            <w:pPr>
              <w:spacing w:after="0"/>
              <w:rPr>
                <w:sz w:val="12"/>
                <w:szCs w:val="12"/>
                <w:color w:val="auto"/>
              </w:rPr>
            </w:pP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6"/>
        </w:trPr>
        <w:tc>
          <w:tcPr>
            <w:tcW w:w="8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7"/>
        </w:trPr>
        <w:tc>
          <w:tcPr>
            <w:tcW w:w="800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66"/>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277,975</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268,633</w:t>
            </w:r>
          </w:p>
        </w:tc>
      </w:tr>
      <w:tr>
        <w:trPr>
          <w:trHeight w:val="17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receivable, net of allowance for doubtful accounts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63,762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68,419</w:t>
            </w:r>
          </w:p>
        </w:tc>
      </w:tr>
      <w:tr>
        <w:trPr>
          <w:trHeight w:val="167"/>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Inventories, net</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80,794</w:t>
            </w:r>
          </w:p>
        </w:tc>
      </w:tr>
      <w:tr>
        <w:trPr>
          <w:trHeight w:val="175"/>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Prepaid expenses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16,026</w:t>
            </w:r>
          </w:p>
        </w:tc>
      </w:tr>
      <w:tr>
        <w:trPr>
          <w:trHeight w:val="167"/>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current assets</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7,404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3,126</w:t>
            </w:r>
          </w:p>
        </w:tc>
      </w:tr>
      <w:tr>
        <w:trPr>
          <w:trHeight w:val="160"/>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435,714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436,998</w:t>
            </w:r>
          </w:p>
        </w:tc>
      </w:tr>
      <w:tr>
        <w:trPr>
          <w:trHeight w:val="160"/>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1,138,671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1,065,869</w:t>
            </w:r>
          </w:p>
        </w:tc>
      </w:tr>
      <w:tr>
        <w:trPr>
          <w:trHeight w:val="17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Deposits on equipment</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w:t>
            </w: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 of use assets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3,366</w:t>
            </w:r>
          </w:p>
        </w:tc>
      </w:tr>
      <w:tr>
        <w:trPr>
          <w:trHeight w:val="17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 term investment in equity securities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33,446</w:t>
            </w:r>
          </w:p>
        </w:tc>
      </w:tr>
      <w:tr>
        <w:trPr>
          <w:trHeight w:val="166"/>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 net</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34,509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34,152</w:t>
            </w:r>
          </w:p>
        </w:tc>
      </w:tr>
      <w:tr>
        <w:trPr>
          <w:trHeight w:val="18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1,777,775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1,574,878</w:t>
            </w:r>
          </w:p>
        </w:tc>
      </w:tr>
      <w:tr>
        <w:trPr>
          <w:trHeight w:val="153"/>
        </w:trPr>
        <w:tc>
          <w:tcPr>
            <w:tcW w:w="800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42,429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39,164</w:t>
            </w:r>
          </w:p>
        </w:tc>
      </w:tr>
      <w:tr>
        <w:trPr>
          <w:trHeight w:val="167"/>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expenses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56,263</w:t>
            </w:r>
          </w:p>
        </w:tc>
      </w:tr>
      <w:tr>
        <w:trPr>
          <w:trHeight w:val="17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1,322</w:t>
            </w:r>
          </w:p>
        </w:tc>
      </w:tr>
      <w:tr>
        <w:trPr>
          <w:trHeight w:val="16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Current finance lease liabilities</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2,120</w:t>
            </w:r>
          </w:p>
        </w:tc>
      </w:tr>
      <w:tr>
        <w:trPr>
          <w:trHeight w:val="181"/>
        </w:trPr>
        <w:tc>
          <w:tcPr>
            <w:tcW w:w="8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78,595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98,869</w:t>
            </w:r>
          </w:p>
        </w:tc>
      </w:tr>
      <w:tr>
        <w:trPr>
          <w:trHeight w:val="166"/>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Convertible senior notes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397,330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395,163</w:t>
            </w:r>
          </w:p>
        </w:tc>
      </w:tr>
      <w:tr>
        <w:trPr>
          <w:trHeight w:val="17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 term operating lease liabilities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2,213</w:t>
            </w: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Long term finance lease liabilities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23,273</w:t>
            </w:r>
          </w:p>
        </w:tc>
      </w:tr>
      <w:tr>
        <w:trPr>
          <w:trHeight w:val="17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 net</w:t>
            </w: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569,116</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519,518</w:t>
            </w:r>
          </w:p>
        </w:tc>
      </w:tr>
      <w:tr>
        <w:trPr>
          <w:trHeight w:val="17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800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7"/>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Common stock — voting, $0.001 par value, 200,000 shares authorized, 48,985 issued and 48,970 outstanding on December 31, 2025, and 48,716 issued and</w:t>
            </w:r>
          </w:p>
        </w:tc>
        <w:tc>
          <w:tcPr>
            <w:tcW w:w="2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48,702 outstanding on December 31, 2024</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66"/>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1,351,201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1,338,160</w:t>
            </w:r>
          </w:p>
        </w:tc>
      </w:tr>
      <w:tr>
        <w:trPr>
          <w:trHeight w:val="17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(281,806)</w:t>
            </w:r>
          </w:p>
        </w:tc>
      </w:tr>
      <w:tr>
        <w:trPr>
          <w:trHeight w:val="166"/>
        </w:trPr>
        <w:tc>
          <w:tcPr>
            <w:tcW w:w="80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Accumulated other comprehensive income (loss)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w:t>
            </w:r>
          </w:p>
        </w:tc>
      </w:tr>
      <w:tr>
        <w:trPr>
          <w:trHeight w:val="171"/>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Treasury stock, at cost — 14 shares on December 31, 2025 and on December 31, 2024</w:t>
            </w: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r>
      <w:tr>
        <w:trPr>
          <w:trHeight w:val="16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1,208,659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1,055,360</w:t>
            </w:r>
          </w:p>
        </w:tc>
      </w:tr>
      <w:tr>
        <w:trPr>
          <w:trHeight w:val="18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1,777,775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1,574,878</w:t>
            </w:r>
          </w:p>
        </w:tc>
      </w:tr>
      <w:tr>
        <w:trPr>
          <w:trHeight w:val="599"/>
        </w:trPr>
        <w:tc>
          <w:tcPr>
            <w:tcW w:w="8000" w:type="dxa"/>
            <w:vAlign w:val="bottom"/>
          </w:tcPr>
          <w:p>
            <w:pPr>
              <w:ind w:left="5620"/>
              <w:spacing w:after="0"/>
              <w:rPr>
                <w:sz w:val="20"/>
                <w:szCs w:val="20"/>
                <w:color w:val="auto"/>
              </w:rPr>
            </w:pPr>
            <w:r>
              <w:rPr>
                <w:rFonts w:ascii="Times New Roman" w:cs="Times New Roman" w:eastAsia="Times New Roman" w:hAnsi="Times New Roman"/>
                <w:sz w:val="12"/>
                <w:szCs w:val="12"/>
                <w:color w:val="auto"/>
              </w:rPr>
              <w:t>5</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INCOME AND COMPREHENSIVE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60" w:type="dxa"/>
            <w:vAlign w:val="bottom"/>
            <w:gridSpan w:val="5"/>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For the Three Months Ended</w:t>
            </w:r>
          </w:p>
        </w:tc>
        <w:tc>
          <w:tcPr>
            <w:tcW w:w="380" w:type="dxa"/>
            <w:vAlign w:val="bottom"/>
          </w:tcPr>
          <w:p>
            <w:pPr>
              <w:spacing w:after="0"/>
              <w:rPr>
                <w:sz w:val="12"/>
                <w:szCs w:val="12"/>
                <w:color w:val="auto"/>
              </w:rPr>
            </w:pP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For the Year Ended</w:t>
            </w:r>
          </w:p>
        </w:tc>
        <w:tc>
          <w:tcPr>
            <w:tcW w:w="1020" w:type="dxa"/>
            <w:vAlign w:val="bottom"/>
          </w:tcPr>
          <w:p>
            <w:pPr>
              <w:spacing w:after="0"/>
              <w:rPr>
                <w:sz w:val="12"/>
                <w:szCs w:val="12"/>
                <w:color w:val="auto"/>
              </w:rPr>
            </w:pPr>
          </w:p>
        </w:tc>
      </w:tr>
      <w:tr>
        <w:trPr>
          <w:trHeight w:val="168"/>
        </w:trPr>
        <w:tc>
          <w:tcPr>
            <w:tcW w:w="4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14"/>
                <w:szCs w:val="14"/>
                <w:color w:val="auto"/>
              </w:rPr>
            </w:pPr>
          </w:p>
        </w:tc>
      </w:tr>
      <w:tr>
        <w:trPr>
          <w:trHeight w:val="164"/>
        </w:trPr>
        <w:tc>
          <w:tcPr>
            <w:tcW w:w="4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6"/>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80" w:type="dxa"/>
            <w:vAlign w:val="bottom"/>
            <w:gridSpan w:val="3"/>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4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7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285,229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262,708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1,102,015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975,177</w:t>
            </w:r>
          </w:p>
        </w:tc>
      </w:tr>
      <w:tr>
        <w:trPr>
          <w:trHeight w:val="16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161,773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151,108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652,389</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579,221</w:t>
            </w:r>
          </w:p>
        </w:tc>
      </w:tr>
      <w:tr>
        <w:trPr>
          <w:trHeight w:val="16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123,456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111,600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449,626</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395,956</w:t>
            </w:r>
          </w:p>
        </w:tc>
      </w:tr>
      <w:tr>
        <w:trPr>
          <w:trHeight w:val="16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78,993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92,223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373,954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357,957</w:t>
            </w:r>
          </w:p>
        </w:tc>
      </w:tr>
      <w:tr>
        <w:trPr>
          <w:trHeight w:val="165"/>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44,463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19,377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37,999</w:t>
            </w:r>
          </w:p>
        </w:tc>
      </w:tr>
      <w:tr>
        <w:trPr>
          <w:trHeight w:val="167"/>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(EXPENSES) INCOME: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 and Other Income, net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11,868</w:t>
            </w:r>
          </w:p>
        </w:tc>
      </w:tr>
      <w:tr>
        <w:trPr>
          <w:trHeight w:val="167"/>
        </w:trPr>
        <w:tc>
          <w:tcPr>
            <w:tcW w:w="4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 Expense</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(14,120)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(12,262)</w:t>
            </w:r>
          </w:p>
        </w:tc>
      </w:tr>
      <w:tr>
        <w:trPr>
          <w:trHeight w:val="171"/>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on Equity Investment</w:t>
            </w:r>
          </w:p>
        </w:tc>
        <w:tc>
          <w:tcPr>
            <w:tcW w:w="3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9,918</w:t>
            </w:r>
          </w:p>
        </w:tc>
      </w:tr>
      <w:tr>
        <w:trPr>
          <w:trHeight w:val="160"/>
        </w:trPr>
        <w:tc>
          <w:tcPr>
            <w:tcW w:w="46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(1,086)</w:t>
            </w:r>
          </w:p>
        </w:tc>
        <w:tc>
          <w:tcPr>
            <w:tcW w:w="8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9,524</w:t>
            </w:r>
          </w:p>
        </w:tc>
      </w:tr>
      <w:tr>
        <w:trPr>
          <w:trHeight w:val="165"/>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43,377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18,559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70,773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47,523</w:t>
            </w:r>
          </w:p>
        </w:tc>
      </w:tr>
      <w:tr>
        <w:trPr>
          <w:trHeight w:val="16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9,562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(68,364)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w:t>
            </w:r>
          </w:p>
        </w:tc>
      </w:tr>
      <w:tr>
        <w:trPr>
          <w:trHeight w:val="18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ATTRIBUTABLE TO COMMON STOCKHOLDERS</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33,815</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139,137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46,925</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1"/>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Change in foreign currency translation</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1,121</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6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1,121</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8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COMPREHENSIVE INCOME</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34,571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17,520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140,258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46,729</w:t>
            </w:r>
          </w:p>
        </w:tc>
      </w:tr>
      <w:tr>
        <w:trPr>
          <w:trHeight w:val="144"/>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NET INCOME PER SHARE ATTRIBUTABLE TO COMMON STOCKHOLDERS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2"/>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0.97</w:t>
            </w:r>
          </w:p>
        </w:tc>
      </w:tr>
      <w:tr>
        <w:trPr>
          <w:trHeight w:val="187"/>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0.93</w:t>
            </w:r>
          </w:p>
        </w:tc>
      </w:tr>
      <w:tr>
        <w:trPr>
          <w:trHeight w:val="15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OF COMMON STOCK OUTSTANDING</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1"/>
        </w:trPr>
        <w:tc>
          <w:tcPr>
            <w:tcW w:w="4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-BASIC</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48,903</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48,642</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48,800</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48,487</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7"/>
        </w:trPr>
        <w:tc>
          <w:tcPr>
            <w:tcW w:w="46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-DILUTED</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55,875</w:t>
            </w: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50,407</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56,037</w:t>
            </w:r>
          </w:p>
        </w:tc>
        <w:tc>
          <w:tcPr>
            <w:tcW w:w="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50,255</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79"/>
        </w:trPr>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8"/>
        </w:trPr>
        <w:tc>
          <w:tcPr>
            <w:tcW w:w="5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0"/>
        </w:trPr>
        <w:tc>
          <w:tcPr>
            <w:tcW w:w="5160" w:type="dxa"/>
            <w:vAlign w:val="bottom"/>
          </w:tcPr>
          <w:p>
            <w:pPr>
              <w:spacing w:after="0"/>
              <w:rPr>
                <w:sz w:val="13"/>
                <w:szCs w:val="13"/>
                <w:color w:val="auto"/>
              </w:rPr>
            </w:pPr>
          </w:p>
        </w:tc>
        <w:tc>
          <w:tcPr>
            <w:tcW w:w="2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6"/>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17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Net income (loss)</w:t>
            </w:r>
          </w:p>
        </w:tc>
        <w:tc>
          <w:tcPr>
            <w:tcW w:w="26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(33,614)</w:t>
            </w:r>
          </w:p>
        </w:tc>
      </w:tr>
      <w:tr>
        <w:trPr>
          <w:trHeight w:val="167"/>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Adjustments to reconcile net income (loss) to net cash flows provided by operating activities:</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Provision for loss (gains) on accounts receivable</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7"/>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4,321</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Share-based compensation</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51,807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24,935</w:t>
            </w:r>
          </w:p>
        </w:tc>
      </w:tr>
      <w:tr>
        <w:trPr>
          <w:trHeight w:val="166"/>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58,517</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Write-off and amortization of deferred financing costs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4,060</w:t>
            </w:r>
          </w:p>
        </w:tc>
      </w:tr>
      <w:tr>
        <w:trPr>
          <w:trHeight w:val="166"/>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Change in operating lease right of use asset</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Deferred income taxes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Inventory obsolescence</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Gain on equity investment</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51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Loss on equity method investment</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1,890</w:t>
            </w:r>
          </w:p>
        </w:tc>
      </w:tr>
      <w:tr>
        <w:trPr>
          <w:trHeight w:val="175"/>
        </w:trPr>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7"/>
        </w:trPr>
        <w:tc>
          <w:tcPr>
            <w:tcW w:w="51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Accounts receivable</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w:t>
            </w:r>
          </w:p>
        </w:tc>
      </w:tr>
      <w:tr>
        <w:trPr>
          <w:trHeight w:val="175"/>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Inventories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w:t>
            </w:r>
          </w:p>
        </w:tc>
      </w:tr>
      <w:tr>
        <w:trPr>
          <w:trHeight w:val="167"/>
        </w:trPr>
        <w:tc>
          <w:tcPr>
            <w:tcW w:w="51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(2,249)</w:t>
            </w:r>
          </w:p>
        </w:tc>
      </w:tr>
      <w:tr>
        <w:trPr>
          <w:trHeight w:val="176"/>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Other assets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(4,053)</w:t>
            </w:r>
          </w:p>
        </w:tc>
      </w:tr>
      <w:tr>
        <w:trPr>
          <w:trHeight w:val="166"/>
        </w:trPr>
        <w:tc>
          <w:tcPr>
            <w:tcW w:w="516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Accounts payable</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3,543</w:t>
            </w:r>
          </w:p>
        </w:tc>
      </w:tr>
      <w:tr>
        <w:trPr>
          <w:trHeight w:val="176"/>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Accrued expenses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(23,396)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19,237</w:t>
            </w:r>
          </w:p>
        </w:tc>
      </w:tr>
      <w:tr>
        <w:trPr>
          <w:trHeight w:val="166"/>
        </w:trPr>
        <w:tc>
          <w:tcPr>
            <w:tcW w:w="5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1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(1,807)</w:t>
            </w:r>
          </w:p>
        </w:tc>
      </w:tr>
      <w:tr>
        <w:trPr>
          <w:trHeight w:val="165"/>
        </w:trPr>
        <w:tc>
          <w:tcPr>
            <w:tcW w:w="5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Net cash flows provided by operating activities</w:t>
            </w:r>
          </w:p>
        </w:tc>
        <w:tc>
          <w:tcPr>
            <w:tcW w:w="17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160,561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154,288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75,940</w:t>
            </w:r>
          </w:p>
        </w:tc>
      </w:tr>
      <w:tr>
        <w:trPr>
          <w:trHeight w:val="147"/>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Acquisitions of property, plant and equipment, software and deposits on equipment</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(148,184)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(239,093)</w:t>
            </w:r>
          </w:p>
        </w:tc>
      </w:tr>
      <w:tr>
        <w:trPr>
          <w:trHeight w:val="166"/>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Purchase of short-term investments</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(113,441)</w:t>
            </w:r>
          </w:p>
        </w:tc>
      </w:tr>
      <w:tr>
        <w:trPr>
          <w:trHeight w:val="171"/>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Proceeds from maturities of short-term investments</w:t>
            </w:r>
          </w:p>
        </w:tc>
        <w:tc>
          <w:tcPr>
            <w:tcW w:w="1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113,441</w:t>
            </w:r>
          </w:p>
        </w:tc>
      </w:tr>
      <w:tr>
        <w:trPr>
          <w:trHeight w:val="160"/>
        </w:trPr>
        <w:tc>
          <w:tcPr>
            <w:tcW w:w="51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2"/>
                <w:szCs w:val="12"/>
                <w:color w:val="auto"/>
              </w:rPr>
              <w:t>Net cash flows used in investing activities</w:t>
            </w:r>
          </w:p>
        </w:tc>
        <w:tc>
          <w:tcPr>
            <w:tcW w:w="17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(148,184)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(187,092)</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(239,093)</w:t>
            </w:r>
          </w:p>
        </w:tc>
      </w:tr>
      <w:tr>
        <w:trPr>
          <w:trHeight w:val="15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7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Proceeds from exercise of options to purchase common stock</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4,517</w:t>
            </w:r>
          </w:p>
        </w:tc>
      </w:tr>
      <w:tr>
        <w:trPr>
          <w:trHeight w:val="17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Tax withholdings related to net shares settlements of restricted stock units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w:t>
            </w:r>
          </w:p>
        </w:tc>
      </w:tr>
      <w:tr>
        <w:trPr>
          <w:trHeight w:val="167"/>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Principal payments under finance lease obligations</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w:t>
            </w:r>
          </w:p>
        </w:tc>
      </w:tr>
      <w:tr>
        <w:trPr>
          <w:trHeight w:val="175"/>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Purchase of capped call options</w:t>
            </w:r>
          </w:p>
        </w:tc>
        <w:tc>
          <w:tcPr>
            <w:tcW w:w="17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(66,211)</w:t>
            </w:r>
          </w:p>
        </w:tc>
      </w:tr>
      <w:tr>
        <w:trPr>
          <w:trHeight w:val="166"/>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Proceeds from issuance of convertible senior notes</w:t>
            </w:r>
          </w:p>
        </w:tc>
        <w:tc>
          <w:tcPr>
            <w:tcW w:w="1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393,518</w:t>
            </w:r>
          </w:p>
        </w:tc>
      </w:tr>
      <w:tr>
        <w:trPr>
          <w:trHeight w:val="171"/>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issuance costs</w:t>
            </w:r>
          </w:p>
        </w:tc>
        <w:tc>
          <w:tcPr>
            <w:tcW w:w="1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w:t>
            </w:r>
          </w:p>
        </w:tc>
      </w:tr>
      <w:tr>
        <w:trPr>
          <w:trHeight w:val="160"/>
        </w:trPr>
        <w:tc>
          <w:tcPr>
            <w:tcW w:w="51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2"/>
                <w:szCs w:val="12"/>
                <w:color w:val="auto"/>
              </w:rPr>
              <w:t>Net cash flows (used in) provided by financing activities</w:t>
            </w:r>
          </w:p>
        </w:tc>
        <w:tc>
          <w:tcPr>
            <w:tcW w:w="17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(3,035)</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4,566</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327,289</w:t>
            </w:r>
          </w:p>
        </w:tc>
      </w:tr>
      <w:tr>
        <w:trPr>
          <w:trHeight w:val="16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1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164,136</w:t>
            </w:r>
          </w:p>
        </w:tc>
      </w:tr>
      <w:tr>
        <w:trPr>
          <w:trHeight w:val="16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BEGINNING OF YEAR</w:t>
            </w:r>
          </w:p>
        </w:tc>
        <w:tc>
          <w:tcPr>
            <w:tcW w:w="1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268,633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296,871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132,735</w:t>
            </w:r>
          </w:p>
        </w:tc>
      </w:tr>
      <w:tr>
        <w:trPr>
          <w:trHeight w:val="18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26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277,975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268,633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296,871</w:t>
            </w:r>
          </w:p>
        </w:tc>
      </w:tr>
      <w:tr>
        <w:trPr>
          <w:trHeight w:val="599"/>
        </w:trPr>
        <w:tc>
          <w:tcPr>
            <w:tcW w:w="516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jc w:val="right"/>
              <w:ind w:right="1180"/>
              <w:spacing w:after="0"/>
              <w:rPr>
                <w:sz w:val="20"/>
                <w:szCs w:val="20"/>
                <w:color w:val="auto"/>
              </w:rPr>
            </w:pPr>
            <w:r>
              <w:rPr>
                <w:rFonts w:ascii="Times New Roman" w:cs="Times New Roman" w:eastAsia="Times New Roman" w:hAnsi="Times New Roman"/>
                <w:sz w:val="12"/>
                <w:szCs w:val="12"/>
                <w:color w:val="auto"/>
              </w:rPr>
              <w:t>7</w:t>
            </w:r>
          </w:p>
        </w:tc>
        <w:tc>
          <w:tcPr>
            <w:tcW w:w="8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BETWEEN GROSS PROFIT AND ADJUSTED GROSS PROFIT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140" w:type="dxa"/>
            <w:vAlign w:val="bottom"/>
          </w:tcPr>
          <w:p>
            <w:pPr>
              <w:spacing w:after="0"/>
              <w:rPr>
                <w:sz w:val="12"/>
                <w:szCs w:val="12"/>
                <w:color w:val="auto"/>
              </w:rPr>
            </w:pPr>
          </w:p>
        </w:tc>
      </w:tr>
      <w:tr>
        <w:trPr>
          <w:trHeight w:val="168"/>
        </w:trPr>
        <w:tc>
          <w:tcPr>
            <w:tcW w:w="4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140" w:type="dxa"/>
            <w:vAlign w:val="bottom"/>
            <w:tcBorders>
              <w:bottom w:val="single" w:sz="8" w:color="auto"/>
            </w:tcBorders>
          </w:tcPr>
          <w:p>
            <w:pPr>
              <w:spacing w:after="0"/>
              <w:rPr>
                <w:sz w:val="14"/>
                <w:szCs w:val="14"/>
                <w:color w:val="auto"/>
              </w:rPr>
            </w:pPr>
          </w:p>
        </w:tc>
      </w:tr>
      <w:tr>
        <w:trPr>
          <w:trHeight w:val="164"/>
        </w:trPr>
        <w:tc>
          <w:tcPr>
            <w:tcW w:w="4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45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123,455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111,600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449,626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395,956</w:t>
            </w:r>
          </w:p>
        </w:tc>
      </w:tr>
      <w:tr>
        <w:trPr>
          <w:trHeight w:val="167"/>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expense</w:t>
            </w:r>
          </w:p>
        </w:tc>
        <w:tc>
          <w:tcPr>
            <w:tcW w:w="380" w:type="dxa"/>
            <w:vAlign w:val="bottom"/>
          </w:tcPr>
          <w:p>
            <w:pPr>
              <w:spacing w:after="0"/>
              <w:rPr>
                <w:sz w:val="14"/>
                <w:szCs w:val="14"/>
                <w:color w:val="auto"/>
              </w:rPr>
            </w:pPr>
          </w:p>
        </w:tc>
        <w:tc>
          <w:tcPr>
            <w:tcW w:w="1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15,402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13,358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61,426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49,056</w:t>
            </w:r>
          </w:p>
        </w:tc>
      </w:tr>
      <w:tr>
        <w:trPr>
          <w:trHeight w:val="17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share-based compensation</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(1,539)</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1,310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3,078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7,761</w:t>
            </w:r>
          </w:p>
        </w:tc>
      </w:tr>
      <w:tr>
        <w:trPr>
          <w:trHeight w:val="153"/>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Loss on disposal of manufacturing equipment</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733</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1,020</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696</w:t>
            </w:r>
          </w:p>
        </w:tc>
      </w:tr>
      <w:tr>
        <w:trPr>
          <w:trHeight w:val="158"/>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Gross Profit</w:t>
            </w: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138,051</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126,273</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515,150</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453,469</w:t>
            </w:r>
          </w:p>
        </w:tc>
      </w:tr>
      <w:tr>
        <w:trPr>
          <w:trHeight w:val="171"/>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Profit as a % of Net Sales</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48.4 %</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46.7 %</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46.5 %</w:t>
            </w:r>
          </w:p>
        </w:tc>
      </w:tr>
      <w:tr>
        <w:trPr>
          <w:trHeight w:val="603"/>
        </w:trPr>
        <w:tc>
          <w:tcPr>
            <w:tcW w:w="4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BETWEEN SG&amp;A EXPENSES AND ADJUSTED SG&amp;A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220" w:type="dxa"/>
            <w:vAlign w:val="bottom"/>
          </w:tcPr>
          <w:p>
            <w:pPr>
              <w:spacing w:after="0"/>
              <w:rPr>
                <w:sz w:val="12"/>
                <w:szCs w:val="12"/>
                <w:color w:val="auto"/>
              </w:rPr>
            </w:pPr>
          </w:p>
        </w:tc>
      </w:tr>
      <w:tr>
        <w:trPr>
          <w:trHeight w:val="168"/>
        </w:trPr>
        <w:tc>
          <w:tcPr>
            <w:tcW w:w="4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220" w:type="dxa"/>
            <w:vAlign w:val="bottom"/>
            <w:tcBorders>
              <w:bottom w:val="single" w:sz="8" w:color="auto"/>
            </w:tcBorders>
          </w:tcPr>
          <w:p>
            <w:pPr>
              <w:spacing w:after="0"/>
              <w:rPr>
                <w:sz w:val="14"/>
                <w:szCs w:val="14"/>
                <w:color w:val="auto"/>
              </w:rPr>
            </w:pPr>
          </w:p>
        </w:tc>
      </w:tr>
      <w:tr>
        <w:trPr>
          <w:trHeight w:val="165"/>
        </w:trPr>
        <w:tc>
          <w:tcPr>
            <w:tcW w:w="4100" w:type="dxa"/>
            <w:vAlign w:val="bottom"/>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4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SG&amp;A expenses</w:t>
            </w: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78,993</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92,223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373,954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357,957</w:t>
            </w:r>
          </w:p>
        </w:tc>
      </w:tr>
      <w:tr>
        <w:trPr>
          <w:trHeight w:val="153"/>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12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6,807</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5,780</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25,446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21,747</w:t>
            </w:r>
          </w:p>
        </w:tc>
      </w:t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share-based compensation (a)</w:t>
            </w:r>
          </w:p>
        </w:tc>
        <w:tc>
          <w:tcPr>
            <w:tcW w:w="1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(4,834)</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12,635</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10,805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44,046</w:t>
            </w:r>
          </w:p>
        </w:tc>
      </w:tr>
      <w:tr>
        <w:trPr>
          <w:trHeight w:val="153"/>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Loss on disposal of equipment</w:t>
            </w:r>
          </w:p>
        </w:tc>
        <w:tc>
          <w:tcPr>
            <w:tcW w:w="112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588</w:t>
            </w:r>
          </w:p>
        </w:tc>
      </w:tr>
      <w:tr>
        <w:trPr>
          <w:trHeight w:val="17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Distributor transition costs (b)</w:t>
            </w:r>
          </w:p>
        </w:tc>
        <w:tc>
          <w:tcPr>
            <w:tcW w:w="1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10,680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Legal obligation (c)</w:t>
            </w:r>
          </w:p>
        </w:tc>
        <w:tc>
          <w:tcPr>
            <w:tcW w:w="11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5,703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International business charges (d)</w:t>
            </w:r>
          </w:p>
        </w:tc>
        <w:tc>
          <w:tcPr>
            <w:tcW w:w="1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1,273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SG&amp;A Expenses</w:t>
            </w:r>
          </w:p>
        </w:tc>
        <w:tc>
          <w:tcPr>
            <w:tcW w:w="1120" w:type="dxa"/>
            <w:vAlign w:val="bottom"/>
            <w:tcBorders>
              <w:top w:val="single" w:sz="8" w:color="auto"/>
              <w:bottom w:val="single" w:sz="8" w:color="auto"/>
            </w:tcBorders>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76,896</w:t>
            </w:r>
          </w:p>
        </w:tc>
        <w:tc>
          <w:tcPr>
            <w:tcW w:w="8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73,583</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319,437</w:t>
            </w: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291,576</w:t>
            </w:r>
          </w:p>
        </w:tc>
      </w:tr>
      <w:tr>
        <w:trPr>
          <w:trHeight w:val="15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SG&amp;A Expenses as a % of Net Sales</w:t>
            </w:r>
          </w:p>
        </w:tc>
        <w:tc>
          <w:tcPr>
            <w:tcW w:w="1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27.0 %</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28.0 %</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29.0 %</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29.9 %</w:t>
            </w:r>
          </w:p>
        </w:tc>
      </w:tr>
    </w:tbl>
    <w:p>
      <w:pPr>
        <w:spacing w:after="0" w:line="241" w:lineRule="exact"/>
        <w:rPr>
          <w:sz w:val="20"/>
          <w:szCs w:val="20"/>
          <w:color w:val="auto"/>
        </w:rPr>
      </w:pPr>
    </w:p>
    <w:p>
      <w:pPr>
        <w:jc w:val="both"/>
        <w:ind w:left="700" w:hanging="352"/>
        <w:spacing w:after="0" w:line="255" w:lineRule="auto"/>
        <w:tabs>
          <w:tab w:leader="none" w:pos="69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jc w:val="both"/>
        <w:ind w:left="700" w:hanging="352"/>
        <w:spacing w:after="0" w:line="250" w:lineRule="auto"/>
        <w:tabs>
          <w:tab w:leader="none" w:pos="692"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ind w:left="680" w:hanging="332"/>
        <w:spacing w:after="0"/>
        <w:tabs>
          <w:tab w:leader="none" w:pos="6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net settlement charges for all claims related to the litigation with Phillips.</w:t>
      </w:r>
    </w:p>
    <w:p>
      <w:pPr>
        <w:spacing w:after="0" w:line="6" w:lineRule="exact"/>
        <w:rPr>
          <w:rFonts w:ascii="Times New Roman" w:cs="Times New Roman" w:eastAsia="Times New Roman" w:hAnsi="Times New Roman"/>
          <w:sz w:val="12"/>
          <w:szCs w:val="12"/>
          <w:color w:val="auto"/>
        </w:rPr>
      </w:pPr>
    </w:p>
    <w:p>
      <w:pPr>
        <w:ind w:left="680" w:hanging="332"/>
        <w:spacing w:after="0"/>
        <w:tabs>
          <w:tab w:leader="none" w:pos="6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termination costs due to a business change in our international go-to-market strategy.</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665"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RECONCILIATION BETWEEN NET INCOME AND ADJUSTED EBITDA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gridSpan w:val="3"/>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180" w:type="dxa"/>
            <w:vAlign w:val="bottom"/>
          </w:tcPr>
          <w:p>
            <w:pPr>
              <w:spacing w:after="0"/>
              <w:rPr>
                <w:sz w:val="12"/>
                <w:szCs w:val="12"/>
                <w:color w:val="auto"/>
              </w:rPr>
            </w:pPr>
          </w:p>
        </w:tc>
      </w:tr>
      <w:tr>
        <w:trPr>
          <w:trHeight w:val="168"/>
        </w:trPr>
        <w:tc>
          <w:tcPr>
            <w:tcW w:w="42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7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180" w:type="dxa"/>
            <w:vAlign w:val="bottom"/>
            <w:tcBorders>
              <w:bottom w:val="single" w:sz="8" w:color="auto"/>
            </w:tcBorders>
          </w:tcPr>
          <w:p>
            <w:pPr>
              <w:spacing w:after="0"/>
              <w:rPr>
                <w:sz w:val="14"/>
                <w:szCs w:val="14"/>
                <w:color w:val="auto"/>
              </w:rPr>
            </w:pPr>
          </w:p>
        </w:tc>
      </w:tr>
      <w:tr>
        <w:trPr>
          <w:trHeight w:val="164"/>
        </w:trPr>
        <w:tc>
          <w:tcPr>
            <w:tcW w:w="4200" w:type="dxa"/>
            <w:vAlign w:val="bottom"/>
          </w:tcPr>
          <w:p>
            <w:pPr>
              <w:spacing w:after="0"/>
              <w:rPr>
                <w:sz w:val="14"/>
                <w:szCs w:val="14"/>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42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6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8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33,815</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18,123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139,137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46,925</w:t>
            </w:r>
          </w:p>
        </w:tc>
      </w:tr>
      <w:tr>
        <w:trPr>
          <w:trHeight w:val="167"/>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22,209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19,138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86,872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70,803</w:t>
            </w:r>
          </w:p>
        </w:tc>
      </w:tr>
      <w:tr>
        <w:trPr>
          <w:trHeight w:val="17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 of interest income</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1,084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4,887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335</w:t>
            </w:r>
          </w:p>
        </w:tc>
      </w:tr>
      <w:tr>
        <w:trPr>
          <w:trHeight w:val="16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0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9,562</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436</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(68,364)</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598</w:t>
            </w:r>
          </w:p>
        </w:tc>
      </w:tr>
      <w:tr>
        <w:trPr>
          <w:trHeight w:val="16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10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66,669</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38,457</w:t>
            </w:r>
          </w:p>
        </w:tc>
        <w:tc>
          <w:tcPr>
            <w:tcW w:w="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162,532</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118,661</w:t>
            </w:r>
          </w:p>
        </w:tc>
      </w:tr>
      <w:tr>
        <w:trPr>
          <w:trHeight w:val="160"/>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Non-cash share-based compensation (a)</w:t>
            </w:r>
          </w:p>
        </w:tc>
        <w:tc>
          <w:tcPr>
            <w:tcW w:w="1080" w:type="dxa"/>
            <w:vAlign w:val="bottom"/>
          </w:tcPr>
          <w:p>
            <w:pPr>
              <w:spacing w:after="0"/>
              <w:rPr>
                <w:sz w:val="13"/>
                <w:szCs w:val="1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(6,373)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13,946</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13,883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51,807</w:t>
            </w:r>
          </w:p>
        </w:tc>
      </w:tr>
      <w:tr>
        <w:trPr>
          <w:trHeight w:val="17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disposal of property, plant and equipment</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857</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1,630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1,284</w:t>
            </w:r>
          </w:p>
        </w:tc>
      </w:tr>
      <w:tr>
        <w:trPr>
          <w:trHeight w:val="166"/>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Distributor transition costs (b)</w:t>
            </w:r>
          </w:p>
        </w:tc>
        <w:tc>
          <w:tcPr>
            <w:tcW w:w="10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10,680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Legal obligation (c)</w:t>
            </w:r>
          </w:p>
        </w:tc>
        <w:tc>
          <w:tcPr>
            <w:tcW w:w="10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5,703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International business charges (d)</w:t>
            </w:r>
          </w:p>
        </w:tc>
        <w:tc>
          <w:tcPr>
            <w:tcW w:w="10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1,273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equity investment</w:t>
            </w:r>
          </w:p>
        </w:tc>
        <w:tc>
          <w:tcPr>
            <w:tcW w:w="10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(9,918)</w:t>
            </w:r>
          </w:p>
        </w:tc>
      </w:tr>
      <w:tr>
        <w:trPr>
          <w:trHeight w:val="181"/>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080" w:type="dxa"/>
            <w:vAlign w:val="bottom"/>
            <w:tcBorders>
              <w:top w:val="single" w:sz="8" w:color="auto"/>
              <w:bottom w:val="single" w:sz="8" w:color="auto"/>
            </w:tcBorders>
          </w:tcPr>
          <w:p>
            <w:pPr>
              <w:jc w:val="right"/>
              <w:ind w:right="9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61,153</w:t>
            </w:r>
          </w:p>
        </w:tc>
        <w:tc>
          <w:tcPr>
            <w:tcW w:w="8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52,633</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195,701</w:t>
            </w:r>
          </w:p>
        </w:tc>
        <w:tc>
          <w:tcPr>
            <w:tcW w:w="8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161,834</w:t>
            </w:r>
          </w:p>
        </w:tc>
      </w:tr>
      <w:tr>
        <w:trPr>
          <w:trHeight w:val="17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 as a % of Net Sales</w:t>
            </w: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21.4 %</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20.0 %</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17.8 %</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16.6 %</w:t>
            </w:r>
          </w:p>
        </w:tc>
      </w:tr>
    </w:tbl>
    <w:p>
      <w:pPr>
        <w:spacing w:after="0" w:line="241" w:lineRule="exact"/>
        <w:rPr>
          <w:sz w:val="20"/>
          <w:szCs w:val="20"/>
          <w:color w:val="auto"/>
        </w:rPr>
      </w:pPr>
    </w:p>
    <w:p>
      <w:pPr>
        <w:jc w:val="both"/>
        <w:ind w:left="700" w:hanging="352"/>
        <w:spacing w:after="0" w:line="255" w:lineRule="auto"/>
        <w:tabs>
          <w:tab w:leader="none" w:pos="69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true-ups to share-based compensation expense. We have certain outstanding share-based awards with performance-based vesting conditions that require the achievement of certain Adjusted EBITDA margins, Adjusted EBITDA and/or Net Sales targets as a condition of vesting. At each reporting period, we reassess the probability of achieving the performance criteria and the performance period required to meet those targets. When the probability of achieving such performance conditions changes, the compensation cost previously recorded is adjusted as needed. When such performance conditions are deemed to be improbable of achievement, the compensation cost previously recorded is reversed.</w:t>
      </w:r>
    </w:p>
    <w:p>
      <w:pPr>
        <w:jc w:val="both"/>
        <w:ind w:left="700" w:hanging="352"/>
        <w:spacing w:after="0" w:line="250" w:lineRule="auto"/>
        <w:tabs>
          <w:tab w:leader="none" w:pos="69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non-recurring loss as a result of an accounts receivable write-off in connection with the liquidation of one of our pet specialty distributors. Concurrent with its liquidation, we transitioned to a new distribution partner, who is a leading pet specialty distributor and who we anticipate will facilitate sales to pet specialty stores. Thus, despite the transitory impact during the first quarter of 2025, our ability to continue to generate sales is consistent with what we would expect to generate within the pet specialty channel.</w:t>
      </w:r>
    </w:p>
    <w:p>
      <w:pPr>
        <w:ind w:left="680" w:hanging="332"/>
        <w:spacing w:after="0"/>
        <w:tabs>
          <w:tab w:leader="none" w:pos="6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net settlement charges for all claims related to the litigation with Phillips.</w:t>
      </w:r>
    </w:p>
    <w:p>
      <w:pPr>
        <w:spacing w:after="0" w:line="6" w:lineRule="exact"/>
        <w:rPr>
          <w:rFonts w:ascii="Times New Roman" w:cs="Times New Roman" w:eastAsia="Times New Roman" w:hAnsi="Times New Roman"/>
          <w:sz w:val="12"/>
          <w:szCs w:val="12"/>
          <w:color w:val="auto"/>
        </w:rPr>
      </w:pPr>
    </w:p>
    <w:p>
      <w:pPr>
        <w:ind w:left="680" w:hanging="332"/>
        <w:spacing w:after="0"/>
        <w:tabs>
          <w:tab w:leader="none" w:pos="6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termination costs due to a business change in our international go-to-market strategy.</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665"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FRESHPET,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BETWEEN NET CASH FLOWS PROVIDED BY OPERATING ACTIVITIES AND FREE CASH FLOW</w:t>
      </w:r>
    </w:p>
    <w:p>
      <w:pPr>
        <w:spacing w:after="0" w:line="171"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2"/>
          <w:szCs w:val="12"/>
          <w:b w:val="1"/>
          <w:bCs w:val="1"/>
          <w:color w:val="auto"/>
        </w:rPr>
        <w:t>Year Ended</w:t>
      </w:r>
    </w:p>
    <w:p>
      <w:pPr>
        <w:spacing w:after="0" w:line="13"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3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4"/>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flows provided by operating activities</w:t>
            </w:r>
          </w:p>
        </w:tc>
        <w:tc>
          <w:tcPr>
            <w:tcW w:w="92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160,561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154,288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75,940</w:t>
            </w:r>
          </w:p>
        </w:tc>
      </w:tr>
      <w:tr>
        <w:trPr>
          <w:trHeight w:val="171"/>
        </w:trPr>
        <w:tc>
          <w:tcPr>
            <w:tcW w:w="6380" w:type="dxa"/>
            <w:vAlign w:val="bottom"/>
            <w:tcBorders>
              <w:bottom w:val="single" w:sz="8" w:color="CCEEFF"/>
            </w:tcBorders>
          </w:tcPr>
          <w:p>
            <w:pPr>
              <w:ind w:left="220"/>
              <w:spacing w:after="0" w:line="171" w:lineRule="exact"/>
              <w:rPr>
                <w:sz w:val="20"/>
                <w:szCs w:val="20"/>
                <w:color w:val="auto"/>
              </w:rPr>
            </w:pPr>
            <w:r>
              <w:rPr>
                <w:rFonts w:ascii="Times New Roman" w:cs="Times New Roman" w:eastAsia="Times New Roman" w:hAnsi="Times New Roman"/>
                <w:sz w:val="12"/>
                <w:szCs w:val="12"/>
                <w:color w:val="auto"/>
              </w:rPr>
              <w:t>less: capital expenditures</w:t>
            </w:r>
            <w:r>
              <w:rPr>
                <w:rFonts w:ascii="Times New Roman" w:cs="Times New Roman" w:eastAsia="Times New Roman" w:hAnsi="Times New Roman"/>
                <w:sz w:val="15"/>
                <w:szCs w:val="15"/>
                <w:color w:val="auto"/>
                <w:vertAlign w:val="superscript"/>
              </w:rPr>
              <w:t>2</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(148,184)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(187,092)</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(239,093)</w:t>
            </w:r>
          </w:p>
        </w:tc>
      </w:tr>
      <w:tr>
        <w:trPr>
          <w:trHeight w:val="158"/>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920" w:type="dxa"/>
            <w:vAlign w:val="bottom"/>
            <w:tcBorders>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12,377</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(32,804)</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1430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48" w:lineRule="exact"/>
        <w:rPr>
          <w:sz w:val="20"/>
          <w:szCs w:val="20"/>
          <w:color w:val="auto"/>
        </w:rPr>
      </w:pPr>
    </w:p>
    <w:p>
      <w:pPr>
        <w:ind w:left="68" w:hanging="68"/>
        <w:spacing w:after="0"/>
        <w:tabs>
          <w:tab w:leader="none" w:pos="68"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Capital expenditures is equivalent to the amount included in "Acquisitions of property, plant and equipment, software and deposits on equipment" on our Consolidated Statements of Cash Flows for the reported period.</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665"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endash "/>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2026-02-23T05:34:52Z</dcterms:created>
  <dcterms:modified xsi:type="dcterms:W3CDTF">2026-02-23T05:34:52Z</dcterms:modified>
</cp:coreProperties>
</file>